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D6BAE" w14:textId="6F413734" w:rsidR="003C5A75" w:rsidRPr="00CE0424" w:rsidRDefault="003C5A75" w:rsidP="003C5A75">
      <w:pPr>
        <w:pStyle w:val="3GPPHeader"/>
        <w:spacing w:after="60"/>
        <w:rPr>
          <w:sz w:val="32"/>
          <w:szCs w:val="32"/>
          <w:highlight w:val="yellow"/>
        </w:rPr>
      </w:pPr>
      <w:bookmarkStart w:id="0" w:name="_Toc347824246"/>
      <w:bookmarkStart w:id="1" w:name="_Toc347824073"/>
      <w:bookmarkStart w:id="2" w:name="_Toc347823621"/>
      <w:bookmarkStart w:id="3" w:name="_Toc226862296"/>
      <w:bookmarkStart w:id="4" w:name="_Ref190406817"/>
      <w:bookmarkStart w:id="5" w:name="OLE_LINK1"/>
      <w:bookmarkStart w:id="6" w:name="OLE_LINK2"/>
      <w:r w:rsidRPr="000A1D33">
        <w:t>3GPP TSG-RAN WG1 Meeting #</w:t>
      </w:r>
      <w:r>
        <w:t>92</w:t>
      </w:r>
      <w:r w:rsidRPr="00CE0424">
        <w:tab/>
      </w:r>
      <w:r w:rsidR="007315CE" w:rsidRPr="007315CE">
        <w:rPr>
          <w:sz w:val="32"/>
          <w:szCs w:val="32"/>
        </w:rPr>
        <w:t>R1-1802781</w:t>
      </w:r>
      <w:bookmarkStart w:id="7" w:name="_GoBack"/>
      <w:bookmarkEnd w:id="7"/>
    </w:p>
    <w:p w14:paraId="5D78C169" w14:textId="77777777" w:rsidR="003C5A75" w:rsidRPr="00CE0424" w:rsidRDefault="003C5A75" w:rsidP="003C5A75">
      <w:pPr>
        <w:pStyle w:val="3GPPHeader"/>
      </w:pPr>
      <w:r>
        <w:t>Athens</w:t>
      </w:r>
      <w:r w:rsidRPr="000A1D33">
        <w:t xml:space="preserve">, </w:t>
      </w:r>
      <w:r>
        <w:t>Greece,</w:t>
      </w:r>
      <w:r w:rsidRPr="000A1D33">
        <w:t xml:space="preserve"> </w:t>
      </w:r>
      <w:r>
        <w:t>26</w:t>
      </w:r>
      <w:r w:rsidRPr="002C5BA4">
        <w:rPr>
          <w:vertAlign w:val="superscript"/>
        </w:rPr>
        <w:t>th</w:t>
      </w:r>
      <w:r>
        <w:t xml:space="preserve"> Feb. – 2</w:t>
      </w:r>
      <w:r w:rsidRPr="00245837">
        <w:rPr>
          <w:vertAlign w:val="superscript"/>
        </w:rPr>
        <w:t>nd</w:t>
      </w:r>
      <w:r>
        <w:t xml:space="preserve"> March</w:t>
      </w:r>
      <w:r w:rsidRPr="000A1D33">
        <w:t xml:space="preserve"> 201</w:t>
      </w:r>
      <w:r>
        <w:t>8</w:t>
      </w:r>
    </w:p>
    <w:bookmarkEnd w:id="0"/>
    <w:bookmarkEnd w:id="1"/>
    <w:bookmarkEnd w:id="2"/>
    <w:bookmarkEnd w:id="3"/>
    <w:bookmarkEnd w:id="4"/>
    <w:p w14:paraId="256EEC8C" w14:textId="77777777" w:rsidR="00424DB8" w:rsidRPr="00776D52" w:rsidRDefault="00424DB8" w:rsidP="009919EB">
      <w:pPr>
        <w:pStyle w:val="TdocHeader2"/>
        <w:rPr>
          <w:sz w:val="22"/>
        </w:rPr>
      </w:pPr>
    </w:p>
    <w:p w14:paraId="2B757F77" w14:textId="77777777" w:rsidR="00424DB8" w:rsidRPr="00B84CAC" w:rsidRDefault="00424DB8" w:rsidP="009919EB">
      <w:pPr>
        <w:pStyle w:val="TdocHeader2"/>
        <w:rPr>
          <w:sz w:val="22"/>
          <w:lang w:val="en-US"/>
        </w:rPr>
      </w:pPr>
      <w:r w:rsidRPr="00B84CAC">
        <w:rPr>
          <w:sz w:val="22"/>
          <w:lang w:val="en-US"/>
        </w:rPr>
        <w:t xml:space="preserve">Source: </w:t>
      </w:r>
      <w:r w:rsidRPr="00B84CAC">
        <w:rPr>
          <w:sz w:val="22"/>
          <w:lang w:val="en-US"/>
        </w:rPr>
        <w:tab/>
        <w:t>Ericsson</w:t>
      </w:r>
    </w:p>
    <w:p w14:paraId="55A7D271" w14:textId="7AE854BA" w:rsidR="00424DB8" w:rsidRPr="00B84CAC" w:rsidRDefault="00424DB8" w:rsidP="009919EB">
      <w:pPr>
        <w:pStyle w:val="TdocHeader2"/>
        <w:rPr>
          <w:sz w:val="22"/>
          <w:lang w:val="en-US"/>
        </w:rPr>
      </w:pPr>
      <w:r w:rsidRPr="00B84CAC">
        <w:rPr>
          <w:sz w:val="22"/>
          <w:lang w:val="en-US"/>
        </w:rPr>
        <w:t>Title:</w:t>
      </w:r>
      <w:bookmarkStart w:id="8" w:name="Title"/>
      <w:bookmarkEnd w:id="8"/>
      <w:r w:rsidR="001F7E7D" w:rsidRPr="00B84CAC">
        <w:rPr>
          <w:sz w:val="22"/>
          <w:lang w:val="en-US"/>
        </w:rPr>
        <w:tab/>
      </w:r>
      <w:r w:rsidR="00B84CAC" w:rsidRPr="00B84CAC">
        <w:rPr>
          <w:sz w:val="22"/>
          <w:lang w:val="en-US"/>
        </w:rPr>
        <w:t>Numerology</w:t>
      </w:r>
      <w:r w:rsidR="00D54C9A" w:rsidRPr="00B84CAC">
        <w:rPr>
          <w:sz w:val="22"/>
          <w:lang w:val="en-US"/>
        </w:rPr>
        <w:t xml:space="preserve"> </w:t>
      </w:r>
      <w:r w:rsidR="00B84CAC" w:rsidRPr="00B84CAC">
        <w:rPr>
          <w:sz w:val="22"/>
          <w:lang w:val="en-US"/>
        </w:rPr>
        <w:t>f</w:t>
      </w:r>
      <w:r w:rsidR="00D54C9A" w:rsidRPr="00B84CAC">
        <w:rPr>
          <w:sz w:val="22"/>
          <w:lang w:val="en-US"/>
        </w:rPr>
        <w:t>or</w:t>
      </w:r>
      <w:r w:rsidR="00943844" w:rsidRPr="00B84CAC">
        <w:rPr>
          <w:sz w:val="22"/>
          <w:lang w:val="en-US"/>
        </w:rPr>
        <w:t xml:space="preserve"> </w:t>
      </w:r>
      <w:r w:rsidR="00B84CAC" w:rsidRPr="00B84CAC">
        <w:rPr>
          <w:sz w:val="22"/>
          <w:lang w:val="en-US"/>
        </w:rPr>
        <w:t xml:space="preserve">NR </w:t>
      </w:r>
      <w:r w:rsidR="007B1DB3">
        <w:rPr>
          <w:sz w:val="22"/>
          <w:lang w:val="en-US"/>
        </w:rPr>
        <w:t>operation in unlicensed spectrum</w:t>
      </w:r>
    </w:p>
    <w:p w14:paraId="22412D91" w14:textId="384F5BBB" w:rsidR="00424DB8" w:rsidRPr="00B84CAC" w:rsidRDefault="00424DB8" w:rsidP="009919EB">
      <w:pPr>
        <w:pStyle w:val="TdocHeader2"/>
        <w:rPr>
          <w:sz w:val="22"/>
          <w:lang w:val="en-US"/>
        </w:rPr>
      </w:pPr>
      <w:r w:rsidRPr="00B84CAC">
        <w:rPr>
          <w:sz w:val="22"/>
          <w:lang w:val="en-US"/>
        </w:rPr>
        <w:t>Agenda Item:</w:t>
      </w:r>
      <w:r w:rsidRPr="00B84CAC">
        <w:rPr>
          <w:sz w:val="22"/>
          <w:lang w:val="en-US"/>
        </w:rPr>
        <w:tab/>
      </w:r>
      <w:r w:rsidR="003C5A75">
        <w:rPr>
          <w:bCs/>
          <w:iCs/>
          <w:sz w:val="22"/>
        </w:rPr>
        <w:t>7.6.5</w:t>
      </w:r>
    </w:p>
    <w:p w14:paraId="397DD876" w14:textId="4C216013" w:rsidR="00424DB8" w:rsidRPr="00B84CAC" w:rsidRDefault="00424DB8" w:rsidP="009919EB">
      <w:pPr>
        <w:pStyle w:val="TdocHeader2"/>
        <w:rPr>
          <w:sz w:val="22"/>
          <w:lang w:val="en-US"/>
        </w:rPr>
      </w:pPr>
      <w:r w:rsidRPr="00B84CAC">
        <w:rPr>
          <w:sz w:val="22"/>
          <w:lang w:val="en-US"/>
        </w:rPr>
        <w:t>Document for:</w:t>
      </w:r>
      <w:r w:rsidRPr="00B84CAC">
        <w:rPr>
          <w:sz w:val="22"/>
          <w:lang w:val="en-US"/>
        </w:rPr>
        <w:tab/>
        <w:t>Discussion and Decision</w:t>
      </w:r>
    </w:p>
    <w:p w14:paraId="2BE5F6F8" w14:textId="77777777" w:rsidR="00424DB8" w:rsidRDefault="00424DB8" w:rsidP="009919EB">
      <w:pPr>
        <w:pStyle w:val="Heading1"/>
        <w:keepLines/>
        <w:pBdr>
          <w:top w:val="single" w:sz="12" w:space="0" w:color="auto"/>
        </w:pBdr>
        <w:tabs>
          <w:tab w:val="num" w:pos="432"/>
        </w:tabs>
        <w:overflowPunct w:val="0"/>
        <w:autoSpaceDE w:val="0"/>
        <w:autoSpaceDN w:val="0"/>
        <w:adjustRightInd w:val="0"/>
        <w:spacing w:after="120"/>
        <w:jc w:val="both"/>
        <w:textAlignment w:val="baseline"/>
      </w:pPr>
      <w:bookmarkStart w:id="9" w:name="_Ref298777854"/>
      <w:bookmarkStart w:id="10" w:name="_Toc458153810"/>
      <w:bookmarkEnd w:id="5"/>
      <w:bookmarkEnd w:id="6"/>
      <w:r w:rsidRPr="00310B2F">
        <w:t>Introduction</w:t>
      </w:r>
      <w:bookmarkEnd w:id="9"/>
      <w:bookmarkEnd w:id="10"/>
    </w:p>
    <w:p w14:paraId="39F6DBF4" w14:textId="1C2846E2" w:rsidR="0024305A" w:rsidRDefault="0024305A" w:rsidP="009919EB">
      <w:pPr>
        <w:pStyle w:val="BodyText"/>
      </w:pPr>
      <w:proofErr w:type="gramStart"/>
      <w:r>
        <w:t>In order to</w:t>
      </w:r>
      <w:proofErr w:type="gramEnd"/>
      <w:r>
        <w:t xml:space="preserve"> efficiently utilize the large amounts of unlicensed spectrum available worldwide, both licensed operation and unlicensed operation </w:t>
      </w:r>
      <w:r w:rsidR="00705A14">
        <w:t>are</w:t>
      </w:r>
      <w:r>
        <w:t xml:space="preserve"> considered for NR. At RAN-75</w:t>
      </w:r>
      <w:r w:rsidR="004F7515">
        <w:t xml:space="preserve"> [1]</w:t>
      </w:r>
      <w:r>
        <w:t>, a study item on NR-based Access to Unlicensed Spectrum was approved. One objective is to:</w:t>
      </w:r>
    </w:p>
    <w:p w14:paraId="58C0C389" w14:textId="4301C414" w:rsidR="0024305A" w:rsidRPr="0024305A" w:rsidRDefault="0024305A" w:rsidP="00900E48">
      <w:pPr>
        <w:numPr>
          <w:ilvl w:val="0"/>
          <w:numId w:val="15"/>
        </w:numPr>
        <w:overflowPunct w:val="0"/>
        <w:autoSpaceDE w:val="0"/>
        <w:autoSpaceDN w:val="0"/>
        <w:adjustRightInd w:val="0"/>
        <w:spacing w:after="180"/>
        <w:jc w:val="both"/>
        <w:textAlignment w:val="baseline"/>
        <w:rPr>
          <w:bCs/>
          <w:i/>
          <w:szCs w:val="20"/>
        </w:rPr>
      </w:pPr>
      <w:r w:rsidRPr="0024305A">
        <w:rPr>
          <w:bCs/>
          <w:i/>
          <w:szCs w:val="20"/>
        </w:rPr>
        <w:t>Study NR-based operation in unlicensed spectrum (RAN1, RAN2, RAN4) including</w:t>
      </w:r>
    </w:p>
    <w:p w14:paraId="761A5454" w14:textId="77777777" w:rsidR="0024305A" w:rsidRPr="0024305A" w:rsidRDefault="0024305A" w:rsidP="00900E48">
      <w:pPr>
        <w:numPr>
          <w:ilvl w:val="1"/>
          <w:numId w:val="16"/>
        </w:numPr>
        <w:overflowPunct w:val="0"/>
        <w:autoSpaceDE w:val="0"/>
        <w:autoSpaceDN w:val="0"/>
        <w:adjustRightInd w:val="0"/>
        <w:spacing w:after="180"/>
        <w:jc w:val="both"/>
        <w:textAlignment w:val="baseline"/>
        <w:rPr>
          <w:bCs/>
          <w:i/>
          <w:szCs w:val="20"/>
        </w:rPr>
      </w:pPr>
      <w:r w:rsidRPr="0024305A">
        <w:rPr>
          <w:bCs/>
          <w:i/>
          <w:szCs w:val="20"/>
        </w:rPr>
        <w:t>Physical channels inheriting the choices of duplex mode, waveform, carrier bandwidth, subcarrier spacing, frame structure, and physical layer design made as part of the NR study and avoiding unnecessary divergence with decisions made in the NR WI</w:t>
      </w:r>
    </w:p>
    <w:p w14:paraId="6B221A7E" w14:textId="77777777" w:rsidR="0024305A" w:rsidRPr="0024305A" w:rsidRDefault="0024305A" w:rsidP="00900E48">
      <w:pPr>
        <w:numPr>
          <w:ilvl w:val="2"/>
          <w:numId w:val="16"/>
        </w:numPr>
        <w:overflowPunct w:val="0"/>
        <w:autoSpaceDE w:val="0"/>
        <w:autoSpaceDN w:val="0"/>
        <w:adjustRightInd w:val="0"/>
        <w:spacing w:after="180"/>
        <w:jc w:val="both"/>
        <w:textAlignment w:val="baseline"/>
        <w:rPr>
          <w:bCs/>
          <w:i/>
          <w:szCs w:val="20"/>
        </w:rPr>
      </w:pPr>
      <w:r w:rsidRPr="0024305A">
        <w:rPr>
          <w:bCs/>
          <w:i/>
          <w:szCs w:val="20"/>
        </w:rPr>
        <w:t>Consider unlicensed bands both below and above 6GHz, up to 52.6GHz</w:t>
      </w:r>
    </w:p>
    <w:p w14:paraId="165F36E8" w14:textId="35CC1306" w:rsidR="0024305A" w:rsidRPr="0024305A" w:rsidRDefault="0024305A" w:rsidP="00900E48">
      <w:pPr>
        <w:numPr>
          <w:ilvl w:val="2"/>
          <w:numId w:val="16"/>
        </w:numPr>
        <w:overflowPunct w:val="0"/>
        <w:autoSpaceDE w:val="0"/>
        <w:autoSpaceDN w:val="0"/>
        <w:adjustRightInd w:val="0"/>
        <w:spacing w:after="180"/>
        <w:jc w:val="both"/>
        <w:textAlignment w:val="baseline"/>
        <w:rPr>
          <w:bCs/>
          <w:i/>
          <w:szCs w:val="20"/>
        </w:rPr>
      </w:pPr>
      <w:r w:rsidRPr="0024305A">
        <w:rPr>
          <w:bCs/>
          <w:i/>
          <w:szCs w:val="20"/>
        </w:rPr>
        <w:t>Consider unlicensed bands above 52.6GHz to the extent that waveform design principles remain unchanged with respect to below 52.6GHz bands</w:t>
      </w:r>
    </w:p>
    <w:p w14:paraId="03A7E039" w14:textId="7102AC43" w:rsidR="0024305A" w:rsidRPr="0024305A" w:rsidRDefault="0024305A" w:rsidP="00900E48">
      <w:pPr>
        <w:numPr>
          <w:ilvl w:val="2"/>
          <w:numId w:val="16"/>
        </w:numPr>
        <w:overflowPunct w:val="0"/>
        <w:autoSpaceDE w:val="0"/>
        <w:autoSpaceDN w:val="0"/>
        <w:adjustRightInd w:val="0"/>
        <w:spacing w:after="180"/>
        <w:jc w:val="both"/>
        <w:textAlignment w:val="baseline"/>
        <w:rPr>
          <w:bCs/>
          <w:i/>
          <w:szCs w:val="20"/>
        </w:rPr>
      </w:pPr>
      <w:r w:rsidRPr="0024305A">
        <w:rPr>
          <w:rFonts w:hint="eastAsia"/>
          <w:bCs/>
          <w:i/>
          <w:szCs w:val="20"/>
          <w:lang w:eastAsia="zh-CN"/>
        </w:rPr>
        <w:t xml:space="preserve">Consider similar forward compatibility </w:t>
      </w:r>
      <w:r w:rsidRPr="0024305A">
        <w:rPr>
          <w:bCs/>
          <w:i/>
          <w:szCs w:val="20"/>
          <w:lang w:eastAsia="zh-CN"/>
        </w:rPr>
        <w:t>principles</w:t>
      </w:r>
      <w:r w:rsidRPr="0024305A">
        <w:rPr>
          <w:rFonts w:hint="eastAsia"/>
          <w:bCs/>
          <w:i/>
          <w:szCs w:val="20"/>
          <w:lang w:eastAsia="zh-CN"/>
        </w:rPr>
        <w:t xml:space="preserve"> made in the NR WI</w:t>
      </w:r>
    </w:p>
    <w:p w14:paraId="6BC10D45" w14:textId="665ABC73" w:rsidR="00B47B84" w:rsidRDefault="00C65B0A">
      <w:pPr>
        <w:pStyle w:val="BodyText"/>
      </w:pPr>
      <w:r>
        <w:t>T</w:t>
      </w:r>
      <w:r w:rsidR="00B47B84">
        <w:t>wo requirements are commonly found in regulations:</w:t>
      </w:r>
    </w:p>
    <w:p w14:paraId="682705C7" w14:textId="77777777" w:rsidR="00B47B84" w:rsidRDefault="00B47B84" w:rsidP="00900E48">
      <w:pPr>
        <w:pStyle w:val="BodyText"/>
        <w:numPr>
          <w:ilvl w:val="0"/>
          <w:numId w:val="17"/>
        </w:numPr>
        <w:overflowPunct w:val="0"/>
        <w:autoSpaceDE w:val="0"/>
        <w:autoSpaceDN w:val="0"/>
        <w:adjustRightInd w:val="0"/>
        <w:spacing w:line="360" w:lineRule="auto"/>
        <w:ind w:left="567"/>
        <w:textAlignment w:val="baseline"/>
      </w:pPr>
      <w:r w:rsidRPr="00313E98">
        <w:t xml:space="preserve">Occupied channel </w:t>
      </w:r>
      <w:r>
        <w:t>bandwidth</w:t>
      </w:r>
    </w:p>
    <w:p w14:paraId="3C158AEB" w14:textId="77777777" w:rsidR="00B47B84" w:rsidRDefault="00B47B84" w:rsidP="00900E48">
      <w:pPr>
        <w:pStyle w:val="BodyText"/>
        <w:numPr>
          <w:ilvl w:val="0"/>
          <w:numId w:val="17"/>
        </w:numPr>
        <w:tabs>
          <w:tab w:val="left" w:pos="1247"/>
          <w:tab w:val="left" w:pos="2552"/>
          <w:tab w:val="left" w:pos="3856"/>
          <w:tab w:val="left" w:pos="5216"/>
          <w:tab w:val="left" w:pos="6464"/>
          <w:tab w:val="left" w:pos="7768"/>
          <w:tab w:val="left" w:pos="9072"/>
          <w:tab w:val="left" w:pos="10206"/>
        </w:tabs>
        <w:spacing w:before="240" w:after="0" w:line="360" w:lineRule="auto"/>
        <w:ind w:left="567"/>
        <w:contextualSpacing/>
      </w:pPr>
      <w:r>
        <w:t>Maximum Power Spectral Density (PSD)</w:t>
      </w:r>
    </w:p>
    <w:p w14:paraId="217F3B3B" w14:textId="7C6CC390" w:rsidR="00B47B84" w:rsidRDefault="00B47B84">
      <w:pPr>
        <w:pStyle w:val="BodyText"/>
      </w:pPr>
      <w:r>
        <w:t xml:space="preserve">For example, both these requirements are enforced for 5 GHz carriers according to </w:t>
      </w:r>
      <w:proofErr w:type="spellStart"/>
      <w:r w:rsidRPr="00AB16C4">
        <w:t>ETSI</w:t>
      </w:r>
      <w:proofErr w:type="spellEnd"/>
      <w:r w:rsidRPr="00AB16C4">
        <w:t xml:space="preserve"> 301 893</w:t>
      </w:r>
      <w:r>
        <w:t xml:space="preserve"> while only the maximum PSD requirements are enforced in the US regulation for 5 and 3.5 GHz. More detailed listings of global regulation can be found in </w:t>
      </w:r>
      <w:r>
        <w:fldChar w:fldCharType="begin"/>
      </w:r>
      <w:r>
        <w:instrText xml:space="preserve"> REF _Ref435690087 \r \h </w:instrText>
      </w:r>
      <w:r w:rsidR="005D22E4">
        <w:instrText xml:space="preserve"> \* MERGEFORMAT </w:instrText>
      </w:r>
      <w:r>
        <w:fldChar w:fldCharType="separate"/>
      </w:r>
      <w:r>
        <w:t>[</w:t>
      </w:r>
      <w:r w:rsidR="004F7515">
        <w:t>2</w:t>
      </w:r>
      <w:r>
        <w:t>]</w:t>
      </w:r>
      <w:r>
        <w:fldChar w:fldCharType="end"/>
      </w:r>
      <w:r>
        <w:t>.</w:t>
      </w:r>
    </w:p>
    <w:p w14:paraId="014AF190" w14:textId="6B942709" w:rsidR="00C65B0A" w:rsidRPr="00DF3C84" w:rsidRDefault="00C65B0A" w:rsidP="00AC627E">
      <w:pPr>
        <w:spacing w:after="120"/>
        <w:jc w:val="both"/>
      </w:pPr>
      <w:r>
        <w:t>In this contribution, we discuss</w:t>
      </w:r>
      <w:r w:rsidR="00311EE0" w:rsidRPr="00311EE0">
        <w:t xml:space="preserve"> </w:t>
      </w:r>
      <w:r w:rsidR="00311EE0">
        <w:t>the n</w:t>
      </w:r>
      <w:r w:rsidR="00311EE0" w:rsidRPr="00B84CAC">
        <w:t xml:space="preserve">umerology for NR </w:t>
      </w:r>
      <w:r w:rsidR="00311EE0">
        <w:t>operation in unlicensed spectrum.</w:t>
      </w:r>
    </w:p>
    <w:p w14:paraId="2C39F634" w14:textId="638E45B4" w:rsidR="00424DB8" w:rsidRDefault="00424DB8">
      <w:pPr>
        <w:pStyle w:val="Heading1"/>
        <w:keepLines/>
        <w:pBdr>
          <w:top w:val="single" w:sz="12" w:space="3" w:color="auto"/>
        </w:pBdr>
        <w:tabs>
          <w:tab w:val="num" w:pos="432"/>
        </w:tabs>
        <w:overflowPunct w:val="0"/>
        <w:autoSpaceDE w:val="0"/>
        <w:autoSpaceDN w:val="0"/>
        <w:adjustRightInd w:val="0"/>
        <w:spacing w:after="120"/>
        <w:jc w:val="both"/>
        <w:textAlignment w:val="baseline"/>
      </w:pPr>
      <w:bookmarkStart w:id="11" w:name="_Toc458153811"/>
      <w:r>
        <w:t>Discussion</w:t>
      </w:r>
      <w:bookmarkEnd w:id="11"/>
    </w:p>
    <w:p w14:paraId="60D071B2" w14:textId="348E25C2" w:rsidR="00A77DC9" w:rsidRDefault="00A77DC9">
      <w:pPr>
        <w:autoSpaceDE w:val="0"/>
        <w:autoSpaceDN w:val="0"/>
        <w:adjustRightInd w:val="0"/>
        <w:spacing w:after="120"/>
        <w:jc w:val="both"/>
        <w:rPr>
          <w:szCs w:val="22"/>
        </w:rPr>
      </w:pPr>
      <w:r>
        <w:t xml:space="preserve">For a given carrier frequency, </w:t>
      </w:r>
      <w:r w:rsidRPr="00A77DC9">
        <w:t>phase noise and Doppler set the minimum subcarrier spacing.</w:t>
      </w:r>
      <w:r>
        <w:t xml:space="preserve"> </w:t>
      </w:r>
      <w:r w:rsidR="00004706">
        <w:t>Narrow</w:t>
      </w:r>
      <w:r>
        <w:t xml:space="preserve"> subcarrier spacings </w:t>
      </w:r>
      <w:r w:rsidR="00004706">
        <w:t xml:space="preserve">can </w:t>
      </w:r>
      <w:r>
        <w:t>either result in undesirabl</w:t>
      </w:r>
      <w:r w:rsidR="00004706">
        <w:t>y</w:t>
      </w:r>
      <w:r>
        <w:t xml:space="preserve"> high phase noise contribut</w:t>
      </w:r>
      <w:r w:rsidR="00004706">
        <w:t>ing</w:t>
      </w:r>
      <w:r>
        <w:t xml:space="preserve"> </w:t>
      </w:r>
      <w:r w:rsidR="00004706">
        <w:t xml:space="preserve">to </w:t>
      </w:r>
      <w:proofErr w:type="spellStart"/>
      <w:r>
        <w:t>EVM</w:t>
      </w:r>
      <w:proofErr w:type="spellEnd"/>
      <w:r>
        <w:t xml:space="preserve"> or in undesirabl</w:t>
      </w:r>
      <w:r w:rsidR="00004706">
        <w:t>y</w:t>
      </w:r>
      <w:r>
        <w:t xml:space="preserve"> high requirements on the local oscillator. </w:t>
      </w:r>
      <w:r w:rsidR="003A7FBC">
        <w:t>N</w:t>
      </w:r>
      <w:r>
        <w:t xml:space="preserve">arrow subcarrier spacings </w:t>
      </w:r>
      <w:r w:rsidR="003A7FBC">
        <w:t xml:space="preserve">can </w:t>
      </w:r>
      <w:r>
        <w:t xml:space="preserve">also lead to performance degradations in high Doppler scenarios.  Wider subcarrier spacings reduce the OFDM symbol duration and can reduce latency. </w:t>
      </w:r>
      <w:r w:rsidR="003A7FBC">
        <w:t xml:space="preserve">However, for a given CP overhead, anticipated delay spread sets an upper limit on the subcarrier spacing. </w:t>
      </w:r>
    </w:p>
    <w:p w14:paraId="164A5617" w14:textId="48311E76" w:rsidR="00980661" w:rsidRPr="00980661" w:rsidRDefault="0024305A">
      <w:pPr>
        <w:autoSpaceDE w:val="0"/>
        <w:autoSpaceDN w:val="0"/>
        <w:adjustRightInd w:val="0"/>
        <w:spacing w:after="120"/>
        <w:jc w:val="both"/>
        <w:rPr>
          <w:szCs w:val="22"/>
        </w:rPr>
      </w:pPr>
      <w:r>
        <w:rPr>
          <w:szCs w:val="22"/>
        </w:rPr>
        <w:t xml:space="preserve">During </w:t>
      </w:r>
      <w:r w:rsidR="003A7FBC">
        <w:rPr>
          <w:szCs w:val="22"/>
        </w:rPr>
        <w:t xml:space="preserve">the </w:t>
      </w:r>
      <w:r>
        <w:rPr>
          <w:szCs w:val="22"/>
        </w:rPr>
        <w:t xml:space="preserve">NR </w:t>
      </w:r>
      <w:r w:rsidR="00705A14">
        <w:rPr>
          <w:szCs w:val="22"/>
        </w:rPr>
        <w:t>study item phase</w:t>
      </w:r>
      <w:r w:rsidR="00980661" w:rsidRPr="00980661">
        <w:rPr>
          <w:szCs w:val="22"/>
        </w:rPr>
        <w:t xml:space="preserve">, </w:t>
      </w:r>
      <w:r w:rsidR="00EF0975">
        <w:rPr>
          <w:szCs w:val="22"/>
        </w:rPr>
        <w:t>extensive</w:t>
      </w:r>
      <w:r w:rsidR="00705A14">
        <w:rPr>
          <w:szCs w:val="22"/>
        </w:rPr>
        <w:t xml:space="preserve"> simulations</w:t>
      </w:r>
      <w:r w:rsidR="00EF0975">
        <w:rPr>
          <w:szCs w:val="22"/>
        </w:rPr>
        <w:t xml:space="preserve"> and stud</w:t>
      </w:r>
      <w:r w:rsidR="003A7FBC">
        <w:rPr>
          <w:szCs w:val="22"/>
        </w:rPr>
        <w:t>ies</w:t>
      </w:r>
      <w:r w:rsidR="00705A14">
        <w:rPr>
          <w:szCs w:val="22"/>
        </w:rPr>
        <w:t xml:space="preserve"> </w:t>
      </w:r>
      <w:r w:rsidR="003A7FBC">
        <w:rPr>
          <w:szCs w:val="22"/>
        </w:rPr>
        <w:t xml:space="preserve">were </w:t>
      </w:r>
      <w:r w:rsidR="00705A14">
        <w:rPr>
          <w:szCs w:val="22"/>
        </w:rPr>
        <w:t>done to evaluate differ</w:t>
      </w:r>
      <w:r w:rsidR="00EF0975">
        <w:rPr>
          <w:szCs w:val="22"/>
        </w:rPr>
        <w:t xml:space="preserve">ent numerology candidates </w:t>
      </w:r>
      <w:r w:rsidR="00705A14">
        <w:rPr>
          <w:szCs w:val="22"/>
        </w:rPr>
        <w:t xml:space="preserve">taking </w:t>
      </w:r>
      <w:r w:rsidR="00EF0975">
        <w:rPr>
          <w:szCs w:val="22"/>
        </w:rPr>
        <w:t xml:space="preserve">into </w:t>
      </w:r>
      <w:r w:rsidR="00705A14">
        <w:rPr>
          <w:szCs w:val="22"/>
        </w:rPr>
        <w:t>consideration phase noise, Doppler s</w:t>
      </w:r>
      <w:r w:rsidR="00EF0975">
        <w:rPr>
          <w:szCs w:val="22"/>
        </w:rPr>
        <w:t xml:space="preserve">pread, </w:t>
      </w:r>
      <w:r w:rsidR="00705A14">
        <w:rPr>
          <w:szCs w:val="22"/>
        </w:rPr>
        <w:t xml:space="preserve">delay spread, </w:t>
      </w:r>
      <w:r w:rsidR="00EF0975">
        <w:rPr>
          <w:szCs w:val="22"/>
        </w:rPr>
        <w:t xml:space="preserve">and latency </w:t>
      </w:r>
      <w:r w:rsidR="00705A14">
        <w:rPr>
          <w:szCs w:val="22"/>
        </w:rPr>
        <w:t xml:space="preserve">etc. </w:t>
      </w:r>
      <w:r w:rsidR="003A7FBC">
        <w:rPr>
          <w:szCs w:val="22"/>
        </w:rPr>
        <w:t>The b</w:t>
      </w:r>
      <w:r w:rsidR="00980661" w:rsidRPr="00980661">
        <w:rPr>
          <w:szCs w:val="22"/>
        </w:rPr>
        <w:t>elow observation</w:t>
      </w:r>
      <w:r w:rsidR="0003717C">
        <w:rPr>
          <w:szCs w:val="22"/>
        </w:rPr>
        <w:t>s</w:t>
      </w:r>
      <w:r w:rsidR="00EF0975">
        <w:rPr>
          <w:szCs w:val="22"/>
        </w:rPr>
        <w:t xml:space="preserve"> on subcarrier spacing</w:t>
      </w:r>
      <w:r w:rsidR="00980661" w:rsidRPr="00980661">
        <w:rPr>
          <w:szCs w:val="22"/>
        </w:rPr>
        <w:t xml:space="preserve"> have been </w:t>
      </w:r>
      <w:r w:rsidR="00980661">
        <w:rPr>
          <w:szCs w:val="22"/>
        </w:rPr>
        <w:t>made</w:t>
      </w:r>
      <w:r>
        <w:rPr>
          <w:szCs w:val="22"/>
        </w:rPr>
        <w:t xml:space="preserve"> </w:t>
      </w:r>
      <w:r w:rsidR="00EF0975">
        <w:rPr>
          <w:szCs w:val="22"/>
        </w:rPr>
        <w:t xml:space="preserve">and documented in </w:t>
      </w:r>
      <w:r>
        <w:rPr>
          <w:szCs w:val="22"/>
        </w:rPr>
        <w:fldChar w:fldCharType="begin"/>
      </w:r>
      <w:r>
        <w:rPr>
          <w:szCs w:val="22"/>
        </w:rPr>
        <w:instrText xml:space="preserve"> REF _Ref479756393 \r \h </w:instrText>
      </w:r>
      <w:r w:rsidR="005D22E4">
        <w:rPr>
          <w:szCs w:val="22"/>
        </w:rPr>
        <w:instrText xml:space="preserve"> \* MERGEFORMAT </w:instrText>
      </w:r>
      <w:r>
        <w:rPr>
          <w:szCs w:val="22"/>
        </w:rPr>
      </w:r>
      <w:r>
        <w:rPr>
          <w:szCs w:val="22"/>
        </w:rPr>
        <w:fldChar w:fldCharType="separate"/>
      </w:r>
      <w:r>
        <w:rPr>
          <w:szCs w:val="22"/>
        </w:rPr>
        <w:t>[</w:t>
      </w:r>
      <w:r w:rsidR="004F7515">
        <w:rPr>
          <w:szCs w:val="22"/>
        </w:rPr>
        <w:t>3</w:t>
      </w:r>
      <w:r>
        <w:rPr>
          <w:szCs w:val="22"/>
        </w:rPr>
        <w:t>]</w:t>
      </w:r>
      <w:r>
        <w:rPr>
          <w:szCs w:val="22"/>
        </w:rPr>
        <w:fldChar w:fldCharType="end"/>
      </w:r>
      <w:r w:rsidR="00980661" w:rsidRPr="00980661">
        <w:rPr>
          <w:szCs w:val="22"/>
        </w:rPr>
        <w:t>:</w:t>
      </w:r>
    </w:p>
    <w:p w14:paraId="6B59EB0A" w14:textId="16C91E68" w:rsidR="00980661" w:rsidRPr="0024305A" w:rsidRDefault="00980661" w:rsidP="00900E48">
      <w:pPr>
        <w:pStyle w:val="ListParagraph"/>
        <w:numPr>
          <w:ilvl w:val="0"/>
          <w:numId w:val="14"/>
        </w:numPr>
        <w:autoSpaceDE w:val="0"/>
        <w:autoSpaceDN w:val="0"/>
        <w:adjustRightInd w:val="0"/>
        <w:spacing w:after="120"/>
        <w:jc w:val="both"/>
        <w:rPr>
          <w:rFonts w:ascii="Times New Roman" w:hAnsi="Times New Roman" w:cs="Times New Roman"/>
        </w:rPr>
      </w:pPr>
      <w:r w:rsidRPr="0024305A">
        <w:rPr>
          <w:rFonts w:ascii="Times New Roman" w:hAnsi="Times New Roman" w:cs="Times New Roman"/>
        </w:rPr>
        <w:t>For below 6 GHz: 15 kHz, 30 kHz and 60 kHz are feasible</w:t>
      </w:r>
    </w:p>
    <w:p w14:paraId="32E18A9A" w14:textId="0E977370" w:rsidR="00980661" w:rsidRPr="0024305A" w:rsidRDefault="00980661" w:rsidP="00900E48">
      <w:pPr>
        <w:pStyle w:val="ListParagraph"/>
        <w:numPr>
          <w:ilvl w:val="0"/>
          <w:numId w:val="14"/>
        </w:numPr>
        <w:autoSpaceDE w:val="0"/>
        <w:autoSpaceDN w:val="0"/>
        <w:adjustRightInd w:val="0"/>
        <w:spacing w:after="120"/>
        <w:jc w:val="both"/>
        <w:rPr>
          <w:rFonts w:ascii="Times New Roman" w:hAnsi="Times New Roman" w:cs="Times New Roman"/>
        </w:rPr>
      </w:pPr>
      <w:r w:rsidRPr="0024305A">
        <w:rPr>
          <w:rFonts w:ascii="Times New Roman" w:hAnsi="Times New Roman" w:cs="Times New Roman"/>
        </w:rPr>
        <w:t>For above 6 GHz: 60 kHz, 120 kHz and 240 kHz are potential candidates of feasible subcarrier spacing.</w:t>
      </w:r>
    </w:p>
    <w:p w14:paraId="45F5A672" w14:textId="1C68F3B8" w:rsidR="00980661" w:rsidRPr="00AF1171" w:rsidRDefault="00980661" w:rsidP="00AF1171">
      <w:pPr>
        <w:autoSpaceDE w:val="0"/>
        <w:autoSpaceDN w:val="0"/>
        <w:adjustRightInd w:val="0"/>
        <w:spacing w:after="120"/>
        <w:jc w:val="both"/>
      </w:pPr>
      <w:r w:rsidRPr="00AF1171">
        <w:t xml:space="preserve">It should be noted which of the </w:t>
      </w:r>
      <w:r w:rsidR="00AF1171" w:rsidRPr="00AF1171">
        <w:t>above-mentioned</w:t>
      </w:r>
      <w:r w:rsidRPr="00AF1171">
        <w:t xml:space="preserve"> subcarrier spacings are supported depends on NR bands where UE and </w:t>
      </w:r>
      <w:proofErr w:type="spellStart"/>
      <w:r w:rsidRPr="00AF1171">
        <w:t>gNB</w:t>
      </w:r>
      <w:proofErr w:type="spellEnd"/>
      <w:r w:rsidRPr="00AF1171">
        <w:t xml:space="preserve"> operate.</w:t>
      </w:r>
    </w:p>
    <w:p w14:paraId="0CD0092D" w14:textId="77777777" w:rsidR="002F2F0C" w:rsidRDefault="002F2F0C" w:rsidP="00EE5DD4">
      <w:pPr>
        <w:jc w:val="both"/>
      </w:pPr>
    </w:p>
    <w:p w14:paraId="3E409DBD" w14:textId="7F632966" w:rsidR="00F247F2" w:rsidRPr="00EE5DD4" w:rsidRDefault="002F2F0C">
      <w:pPr>
        <w:jc w:val="both"/>
        <w:rPr>
          <w:rFonts w:eastAsia="MS Mincho"/>
          <w:lang w:eastAsia="ja-JP"/>
        </w:rPr>
      </w:pPr>
      <w:r w:rsidRPr="009B0307">
        <w:lastRenderedPageBreak/>
        <w:t xml:space="preserve">Additionally, during RAN1#86, it was agreed that </w:t>
      </w:r>
      <w:r w:rsidR="00AF1171">
        <w:rPr>
          <w:rFonts w:eastAsia="MS Mincho"/>
          <w:lang w:eastAsia="ja-JP"/>
        </w:rPr>
        <w:t>it</w:t>
      </w:r>
      <w:r w:rsidRPr="009B0307">
        <w:rPr>
          <w:rFonts w:eastAsia="MS Mincho"/>
          <w:lang w:eastAsia="ja-JP"/>
        </w:rPr>
        <w:t xml:space="preserve"> should be possible to deploy NR with 60 kHz subcarrier spacing in the channel that have the same delay spread that LTE can handle with the normal CP length as one use case.</w:t>
      </w:r>
      <w:r w:rsidR="009B0307" w:rsidRPr="009B0307">
        <w:rPr>
          <w:rFonts w:eastAsia="MS Mincho"/>
          <w:lang w:eastAsia="ja-JP"/>
        </w:rPr>
        <w:t xml:space="preserve"> </w:t>
      </w:r>
      <w:r w:rsidR="00D55E63" w:rsidRPr="009B0307">
        <w:t xml:space="preserve">It was also decided in the </w:t>
      </w:r>
      <w:r w:rsidR="00AF1171">
        <w:t>w</w:t>
      </w:r>
      <w:r w:rsidR="00D55E63" w:rsidRPr="009B0307">
        <w:t xml:space="preserve">ork </w:t>
      </w:r>
      <w:r w:rsidR="00AF1171">
        <w:t>it</w:t>
      </w:r>
      <w:r w:rsidR="00D55E63" w:rsidRPr="009B0307">
        <w:t xml:space="preserve">em phase that the </w:t>
      </w:r>
      <w:r w:rsidR="00D55E63" w:rsidRPr="00EE5DD4">
        <w:rPr>
          <w:rFonts w:eastAsia="MS Mincho"/>
          <w:lang w:eastAsia="ja-JP"/>
        </w:rPr>
        <w:t>maximum channel bandwidth per NR carrier is 400 MHz in Rel-15</w:t>
      </w:r>
      <w:r w:rsidR="00F247F2">
        <w:rPr>
          <w:rFonts w:eastAsia="MS Mincho"/>
          <w:lang w:eastAsia="ja-JP"/>
        </w:rPr>
        <w:t>.</w:t>
      </w:r>
    </w:p>
    <w:p w14:paraId="5483195A" w14:textId="0BB3D63B" w:rsidR="00D55E63" w:rsidRPr="00EE5DD4" w:rsidRDefault="00D55E63" w:rsidP="00EE5DD4">
      <w:pPr>
        <w:pStyle w:val="Heading2"/>
        <w:jc w:val="both"/>
      </w:pPr>
      <w:r>
        <w:t>Numerology design for low Frequency bands</w:t>
      </w:r>
    </w:p>
    <w:p w14:paraId="4A5E218C" w14:textId="77777777" w:rsidR="00D55E63" w:rsidRDefault="00D55E63" w:rsidP="00EE5DD4">
      <w:pPr>
        <w:jc w:val="both"/>
        <w:rPr>
          <w:rFonts w:eastAsia="MS Mincho"/>
          <w:sz w:val="20"/>
          <w:highlight w:val="cyan"/>
          <w:lang w:eastAsia="ja-JP"/>
        </w:rPr>
      </w:pPr>
    </w:p>
    <w:p w14:paraId="45FC0DF8" w14:textId="132B3B19" w:rsidR="00156C7D" w:rsidRDefault="00156C7D">
      <w:pPr>
        <w:autoSpaceDE w:val="0"/>
        <w:autoSpaceDN w:val="0"/>
        <w:adjustRightInd w:val="0"/>
        <w:spacing w:after="120"/>
        <w:jc w:val="both"/>
      </w:pPr>
      <w:r>
        <w:t xml:space="preserve">Herein, we discuss the </w:t>
      </w:r>
      <w:r w:rsidR="0024305A">
        <w:t xml:space="preserve">OFDM </w:t>
      </w:r>
      <w:r>
        <w:t>numerology</w:t>
      </w:r>
      <w:r w:rsidR="0024305A">
        <w:t xml:space="preserve"> design to operate NR in unlicensed spectrum </w:t>
      </w:r>
      <w:r w:rsidR="00D55E63">
        <w:t>for 6GHz and below</w:t>
      </w:r>
      <w:r>
        <w:t>.</w:t>
      </w:r>
    </w:p>
    <w:p w14:paraId="164074AE" w14:textId="0380B353" w:rsidR="00E0653F" w:rsidRDefault="0024305A">
      <w:pPr>
        <w:autoSpaceDE w:val="0"/>
        <w:autoSpaceDN w:val="0"/>
        <w:adjustRightInd w:val="0"/>
        <w:spacing w:after="120"/>
        <w:jc w:val="both"/>
      </w:pPr>
      <w:r>
        <w:t xml:space="preserve">To reduce the transmission granularity and latency, </w:t>
      </w:r>
      <w:r w:rsidR="0003717C">
        <w:t xml:space="preserve">30 kHz and 60 kHz </w:t>
      </w:r>
      <w:r>
        <w:t xml:space="preserve">subcarrier spacing </w:t>
      </w:r>
      <w:r w:rsidR="0003717C">
        <w:t xml:space="preserve">can be considered as </w:t>
      </w:r>
      <w:r w:rsidR="009E5B21">
        <w:t xml:space="preserve">numerology </w:t>
      </w:r>
      <w:r w:rsidR="0003717C">
        <w:t xml:space="preserve">candidates for NR </w:t>
      </w:r>
      <w:r w:rsidR="00705A14">
        <w:t>in unlicensed spectrum</w:t>
      </w:r>
      <w:r w:rsidR="00D55E63">
        <w:t xml:space="preserve"> for 5</w:t>
      </w:r>
      <w:r w:rsidR="00F247F2">
        <w:t xml:space="preserve">/6 </w:t>
      </w:r>
      <w:r w:rsidR="00D55E63">
        <w:t xml:space="preserve">GHz. </w:t>
      </w:r>
      <w:r w:rsidR="00E0653F">
        <w:t xml:space="preserve">60KHz subcarrier spacing will enable 4 times higher channel access granularity as compared to </w:t>
      </w:r>
      <w:proofErr w:type="spellStart"/>
      <w:r w:rsidR="00E0653F">
        <w:t>LAA</w:t>
      </w:r>
      <w:proofErr w:type="spellEnd"/>
      <w:r w:rsidR="00E0653F">
        <w:t>.</w:t>
      </w:r>
      <w:r w:rsidR="00E0653F" w:rsidRPr="00E0653F">
        <w:t xml:space="preserve"> </w:t>
      </w:r>
      <w:r w:rsidR="00E0653F">
        <w:t xml:space="preserve">Details of the two numerologies with normal CP are provided in </w:t>
      </w:r>
      <w:r w:rsidR="00E0653F">
        <w:fldChar w:fldCharType="begin"/>
      </w:r>
      <w:r w:rsidR="00E0653F">
        <w:instrText xml:space="preserve"> REF _Ref479690360 \h </w:instrText>
      </w:r>
      <w:r w:rsidR="005D22E4">
        <w:instrText xml:space="preserve"> \* MERGEFORMAT </w:instrText>
      </w:r>
      <w:r w:rsidR="00E0653F">
        <w:fldChar w:fldCharType="separate"/>
      </w:r>
      <w:r w:rsidR="00E0653F" w:rsidRPr="003D5995">
        <w:t xml:space="preserve">Table </w:t>
      </w:r>
      <w:r w:rsidR="00E0653F">
        <w:rPr>
          <w:noProof/>
        </w:rPr>
        <w:t>1</w:t>
      </w:r>
      <w:r w:rsidR="00E0653F">
        <w:fldChar w:fldCharType="end"/>
      </w:r>
      <w:r w:rsidR="00E0653F">
        <w:t xml:space="preserve">. Based on conclusions from NR study item phase, it can be assumed that NR unlicensed with </w:t>
      </w:r>
      <w:proofErr w:type="spellStart"/>
      <w:r w:rsidR="00E0653F">
        <w:t>FFT</w:t>
      </w:r>
      <w:proofErr w:type="spellEnd"/>
      <w:r w:rsidR="00E0653F">
        <w:t xml:space="preserve"> size of 4096 </w:t>
      </w:r>
      <w:r w:rsidR="0033603D">
        <w:t xml:space="preserve">will </w:t>
      </w:r>
      <w:r w:rsidR="00E0653F">
        <w:t>support maximum channel bandwidth of 100MHz with 30 kHz subcarrier spacing and 200MHz with 60 kHz subcarrier spacing</w:t>
      </w:r>
      <w:r w:rsidR="00B35C66">
        <w:t>.</w:t>
      </w:r>
    </w:p>
    <w:p w14:paraId="5B31FEC0" w14:textId="634CD642" w:rsidR="00A81FFD" w:rsidRDefault="004A349C" w:rsidP="004A349C">
      <w:pPr>
        <w:autoSpaceDE w:val="0"/>
        <w:autoSpaceDN w:val="0"/>
        <w:adjustRightInd w:val="0"/>
        <w:spacing w:after="120"/>
        <w:jc w:val="both"/>
      </w:pPr>
      <w:r>
        <w:t>For NR,</w:t>
      </w:r>
      <w:r w:rsidR="00A81FFD">
        <w:t xml:space="preserve"> the usage of 60KHz </w:t>
      </w:r>
      <w:proofErr w:type="spellStart"/>
      <w:r w:rsidR="00A81FFD">
        <w:t>SCS</w:t>
      </w:r>
      <w:proofErr w:type="spellEnd"/>
      <w:r w:rsidR="00A81FFD">
        <w:t xml:space="preserve"> for </w:t>
      </w:r>
      <w:proofErr w:type="spellStart"/>
      <w:r w:rsidR="00A81FFD">
        <w:t>PRACH</w:t>
      </w:r>
      <w:proofErr w:type="spellEnd"/>
      <w:r w:rsidR="00A81FFD">
        <w:t xml:space="preserve"> transmission is restricted only for frequencies above 6GHz. For below 6GHz operation, the supported </w:t>
      </w:r>
      <w:proofErr w:type="spellStart"/>
      <w:r w:rsidR="00A81FFD">
        <w:t>PRACH</w:t>
      </w:r>
      <w:proofErr w:type="spellEnd"/>
      <w:r w:rsidR="00A81FFD">
        <w:t xml:space="preserve"> </w:t>
      </w:r>
      <w:proofErr w:type="spellStart"/>
      <w:r>
        <w:t>SCS</w:t>
      </w:r>
      <w:proofErr w:type="spellEnd"/>
      <w:r>
        <w:t xml:space="preserve"> are</w:t>
      </w:r>
      <w:r w:rsidR="00A81FFD">
        <w:t xml:space="preserve"> limited to 15 and 30KHz which is indicated by 1-bit in </w:t>
      </w:r>
      <w:proofErr w:type="spellStart"/>
      <w:r w:rsidR="00A81FFD">
        <w:t>RRC</w:t>
      </w:r>
      <w:proofErr w:type="spellEnd"/>
      <w:r w:rsidR="00A81FFD">
        <w:t xml:space="preserve"> RACH configuration. </w:t>
      </w:r>
      <w:r>
        <w:t>This is especially problematic for UL transmission where interlacing data and control using different subcarrier spacing is not possible. T</w:t>
      </w:r>
      <w:r w:rsidR="00A81FFD">
        <w:t xml:space="preserve">o include 60KHz for </w:t>
      </w:r>
      <w:proofErr w:type="spellStart"/>
      <w:r w:rsidR="00A81FFD">
        <w:t>PRACH</w:t>
      </w:r>
      <w:proofErr w:type="spellEnd"/>
      <w:r w:rsidR="00A81FFD">
        <w:t xml:space="preserve"> </w:t>
      </w:r>
      <w:r>
        <w:t>transmission in spectrum below</w:t>
      </w:r>
      <w:r w:rsidR="00A81FFD">
        <w:t xml:space="preserve"> 6GHz</w:t>
      </w:r>
      <w:r>
        <w:t xml:space="preserve">, one of the following is needed: </w:t>
      </w:r>
      <w:r w:rsidR="00A81FFD">
        <w:t>(1)</w:t>
      </w:r>
      <w:r>
        <w:t xml:space="preserve"> extend </w:t>
      </w:r>
      <w:proofErr w:type="spellStart"/>
      <w:r>
        <w:t>RRC</w:t>
      </w:r>
      <w:proofErr w:type="spellEnd"/>
      <w:r>
        <w:t xml:space="preserve"> configuration to allow more than 2 </w:t>
      </w:r>
      <w:proofErr w:type="spellStart"/>
      <w:r>
        <w:t>SCS</w:t>
      </w:r>
      <w:proofErr w:type="spellEnd"/>
      <w:r>
        <w:t xml:space="preserve"> options, or (2) reinterpret existing configuration to indicate 30 or 60 </w:t>
      </w:r>
      <w:proofErr w:type="spellStart"/>
      <w:r>
        <w:t>KHz</w:t>
      </w:r>
      <w:proofErr w:type="spellEnd"/>
      <w:r>
        <w:t xml:space="preserve"> </w:t>
      </w:r>
      <w:proofErr w:type="spellStart"/>
      <w:r>
        <w:t>SCS</w:t>
      </w:r>
      <w:proofErr w:type="spellEnd"/>
      <w:r>
        <w:t xml:space="preserve"> instead of 15 and 30KHz.  </w:t>
      </w:r>
      <w:r w:rsidR="00A81FFD">
        <w:t xml:space="preserve"> </w:t>
      </w:r>
      <w:r>
        <w:t xml:space="preserve">The second alternative requires </w:t>
      </w:r>
      <w:r w:rsidR="0033603D">
        <w:t>fewer</w:t>
      </w:r>
      <w:r>
        <w:t xml:space="preserve"> changes. </w:t>
      </w:r>
      <w:r w:rsidR="00A81FFD">
        <w:t xml:space="preserve"> </w:t>
      </w:r>
      <w:r>
        <w:t xml:space="preserve">It should also be noted, the same complication applies to most control signaling, not only </w:t>
      </w:r>
      <w:proofErr w:type="gramStart"/>
      <w:r w:rsidR="009B5776">
        <w:t>random access</w:t>
      </w:r>
      <w:proofErr w:type="gramEnd"/>
      <w:r w:rsidR="009B5776">
        <w:t xml:space="preserve"> procedure</w:t>
      </w:r>
      <w:r>
        <w:t xml:space="preserve">. </w:t>
      </w:r>
    </w:p>
    <w:p w14:paraId="28C38A48" w14:textId="606ADFC6" w:rsidR="009B5776" w:rsidRDefault="004A349C" w:rsidP="004A349C">
      <w:pPr>
        <w:pStyle w:val="Observation"/>
        <w:numPr>
          <w:ilvl w:val="0"/>
          <w:numId w:val="0"/>
        </w:numPr>
        <w:ind w:left="360" w:hanging="360"/>
        <w:rPr>
          <w:rFonts w:asciiTheme="majorBidi" w:hAnsiTheme="majorBidi" w:cstheme="majorBidi"/>
          <w:i/>
          <w:iCs/>
        </w:rPr>
      </w:pPr>
      <w:r w:rsidRPr="002107E6">
        <w:rPr>
          <w:rFonts w:asciiTheme="majorBidi" w:hAnsiTheme="majorBidi" w:cstheme="majorBidi"/>
          <w:i/>
          <w:iCs/>
        </w:rPr>
        <w:t>Proposal</w:t>
      </w:r>
      <w:r w:rsidR="009B5776">
        <w:rPr>
          <w:rFonts w:asciiTheme="majorBidi" w:hAnsiTheme="majorBidi" w:cstheme="majorBidi"/>
          <w:i/>
          <w:iCs/>
        </w:rPr>
        <w:t xml:space="preserve"> 1</w:t>
      </w:r>
      <w:r w:rsidRPr="002107E6">
        <w:rPr>
          <w:rFonts w:asciiTheme="majorBidi" w:hAnsiTheme="majorBidi" w:cstheme="majorBidi"/>
          <w:i/>
          <w:iCs/>
        </w:rPr>
        <w:t xml:space="preserve">: </w:t>
      </w:r>
    </w:p>
    <w:p w14:paraId="3E133479" w14:textId="5EBD8C7D" w:rsidR="004A349C" w:rsidRPr="002107E6" w:rsidRDefault="004A349C" w:rsidP="002107E6">
      <w:pPr>
        <w:pStyle w:val="Observation"/>
        <w:numPr>
          <w:ilvl w:val="1"/>
          <w:numId w:val="12"/>
        </w:numPr>
        <w:rPr>
          <w:rFonts w:asciiTheme="majorBidi" w:hAnsiTheme="majorBidi" w:cstheme="majorBidi"/>
          <w:i/>
          <w:iCs/>
        </w:rPr>
      </w:pPr>
      <w:r w:rsidRPr="002107E6">
        <w:rPr>
          <w:rFonts w:asciiTheme="majorBidi" w:hAnsiTheme="majorBidi" w:cstheme="majorBidi"/>
          <w:i/>
          <w:iCs/>
        </w:rPr>
        <w:t xml:space="preserve">30 kHz and 60 kHz subcarrier spacing </w:t>
      </w:r>
      <w:r w:rsidR="009B5776" w:rsidRPr="002107E6">
        <w:rPr>
          <w:rFonts w:asciiTheme="majorBidi" w:hAnsiTheme="majorBidi" w:cstheme="majorBidi"/>
          <w:i/>
          <w:iCs/>
        </w:rPr>
        <w:t xml:space="preserve">are </w:t>
      </w:r>
      <w:r w:rsidRPr="002107E6">
        <w:rPr>
          <w:rFonts w:asciiTheme="majorBidi" w:hAnsiTheme="majorBidi" w:cstheme="majorBidi"/>
          <w:i/>
          <w:iCs/>
        </w:rPr>
        <w:t>considered for NR unlicensed @ 5 GHz and 6GHz.</w:t>
      </w:r>
    </w:p>
    <w:p w14:paraId="0A541B65" w14:textId="77777777" w:rsidR="004A349C" w:rsidRDefault="004A349C">
      <w:pPr>
        <w:autoSpaceDE w:val="0"/>
        <w:autoSpaceDN w:val="0"/>
        <w:adjustRightInd w:val="0"/>
        <w:spacing w:after="120"/>
        <w:jc w:val="both"/>
      </w:pPr>
    </w:p>
    <w:tbl>
      <w:tblPr>
        <w:tblStyle w:val="TableGrid1"/>
        <w:tblW w:w="9655" w:type="dxa"/>
        <w:tblLook w:val="0420" w:firstRow="1" w:lastRow="0" w:firstColumn="0" w:lastColumn="0" w:noHBand="0" w:noVBand="1"/>
      </w:tblPr>
      <w:tblGrid>
        <w:gridCol w:w="3060"/>
        <w:gridCol w:w="1795"/>
        <w:gridCol w:w="2430"/>
        <w:gridCol w:w="2370"/>
      </w:tblGrid>
      <w:tr w:rsidR="003C5A75" w:rsidRPr="00B07DED" w14:paraId="69384226" w14:textId="77777777" w:rsidTr="00AF1171">
        <w:trPr>
          <w:trHeight w:val="289"/>
        </w:trPr>
        <w:tc>
          <w:tcPr>
            <w:tcW w:w="3060" w:type="dxa"/>
            <w:shd w:val="clear" w:color="auto" w:fill="EEECE1" w:themeFill="background2"/>
            <w:hideMark/>
          </w:tcPr>
          <w:p w14:paraId="2718135B" w14:textId="77777777" w:rsidR="003C5A75" w:rsidRPr="00B07DED" w:rsidRDefault="003C5A75">
            <w:pPr>
              <w:autoSpaceDE w:val="0"/>
              <w:autoSpaceDN w:val="0"/>
              <w:adjustRightInd w:val="0"/>
              <w:spacing w:after="120"/>
              <w:jc w:val="both"/>
            </w:pPr>
            <w:r w:rsidRPr="00B07DED">
              <w:t>Subcarrier spacing</w:t>
            </w:r>
          </w:p>
        </w:tc>
        <w:tc>
          <w:tcPr>
            <w:tcW w:w="1795" w:type="dxa"/>
            <w:shd w:val="clear" w:color="auto" w:fill="EEECE1" w:themeFill="background2"/>
            <w:hideMark/>
          </w:tcPr>
          <w:p w14:paraId="61AB561C" w14:textId="2F33638D" w:rsidR="003C5A75" w:rsidRPr="00B07DED" w:rsidRDefault="003C5A75">
            <w:pPr>
              <w:autoSpaceDE w:val="0"/>
              <w:autoSpaceDN w:val="0"/>
              <w:adjustRightInd w:val="0"/>
              <w:spacing w:after="120"/>
              <w:jc w:val="both"/>
            </w:pPr>
            <w:r w:rsidRPr="00B07DED">
              <w:t>15 kHz</w:t>
            </w:r>
            <w:r>
              <w:t xml:space="preserve"> with NCP</w:t>
            </w:r>
          </w:p>
        </w:tc>
        <w:tc>
          <w:tcPr>
            <w:tcW w:w="2430" w:type="dxa"/>
            <w:shd w:val="clear" w:color="auto" w:fill="EEECE1" w:themeFill="background2"/>
            <w:hideMark/>
          </w:tcPr>
          <w:p w14:paraId="05135807" w14:textId="6D7A492C" w:rsidR="003C5A75" w:rsidRPr="00B07DED" w:rsidRDefault="003C5A75">
            <w:pPr>
              <w:autoSpaceDE w:val="0"/>
              <w:autoSpaceDN w:val="0"/>
              <w:adjustRightInd w:val="0"/>
              <w:spacing w:after="120"/>
              <w:jc w:val="both"/>
            </w:pPr>
            <w:r>
              <w:rPr>
                <w:lang w:val="sv-SE"/>
              </w:rPr>
              <w:t xml:space="preserve">30 kHz </w:t>
            </w:r>
            <w:r>
              <w:t>with NCP</w:t>
            </w:r>
          </w:p>
        </w:tc>
        <w:tc>
          <w:tcPr>
            <w:tcW w:w="2370" w:type="dxa"/>
            <w:shd w:val="clear" w:color="auto" w:fill="EEECE1" w:themeFill="background2"/>
            <w:hideMark/>
          </w:tcPr>
          <w:p w14:paraId="5224AE94" w14:textId="56C68B5A" w:rsidR="003C5A75" w:rsidRPr="00B07DED" w:rsidRDefault="003C5A75">
            <w:pPr>
              <w:autoSpaceDE w:val="0"/>
              <w:autoSpaceDN w:val="0"/>
              <w:adjustRightInd w:val="0"/>
              <w:spacing w:after="120"/>
              <w:jc w:val="both"/>
            </w:pPr>
            <w:r>
              <w:t>60 kHz with NCP</w:t>
            </w:r>
          </w:p>
        </w:tc>
      </w:tr>
      <w:tr w:rsidR="003C5A75" w:rsidRPr="00B07DED" w14:paraId="7311B51C" w14:textId="77777777" w:rsidTr="00AF1171">
        <w:trPr>
          <w:trHeight w:val="372"/>
        </w:trPr>
        <w:tc>
          <w:tcPr>
            <w:tcW w:w="3060" w:type="dxa"/>
            <w:shd w:val="clear" w:color="auto" w:fill="EEECE1" w:themeFill="background2"/>
            <w:hideMark/>
          </w:tcPr>
          <w:p w14:paraId="2E4E8D4A" w14:textId="77777777" w:rsidR="003C5A75" w:rsidRPr="00B07DED" w:rsidRDefault="003C5A75">
            <w:pPr>
              <w:autoSpaceDE w:val="0"/>
              <w:autoSpaceDN w:val="0"/>
              <w:adjustRightInd w:val="0"/>
              <w:spacing w:after="120"/>
              <w:jc w:val="both"/>
            </w:pPr>
            <w:r w:rsidRPr="00B07DED">
              <w:t>Slot duration</w:t>
            </w:r>
          </w:p>
        </w:tc>
        <w:tc>
          <w:tcPr>
            <w:tcW w:w="1795" w:type="dxa"/>
            <w:hideMark/>
          </w:tcPr>
          <w:p w14:paraId="168F0F6D" w14:textId="723E80BD" w:rsidR="003C5A75" w:rsidRPr="00B07DED" w:rsidRDefault="003C5A75">
            <w:pPr>
              <w:autoSpaceDE w:val="0"/>
              <w:autoSpaceDN w:val="0"/>
              <w:adjustRightInd w:val="0"/>
              <w:spacing w:after="120"/>
              <w:jc w:val="both"/>
            </w:pPr>
            <w:r w:rsidRPr="00B07DED">
              <w:t>1000 µs</w:t>
            </w:r>
          </w:p>
        </w:tc>
        <w:tc>
          <w:tcPr>
            <w:tcW w:w="2430" w:type="dxa"/>
            <w:hideMark/>
          </w:tcPr>
          <w:p w14:paraId="094F7D47" w14:textId="77777777" w:rsidR="003C5A75" w:rsidRPr="00B07DED" w:rsidRDefault="003C5A75">
            <w:pPr>
              <w:autoSpaceDE w:val="0"/>
              <w:autoSpaceDN w:val="0"/>
              <w:adjustRightInd w:val="0"/>
              <w:spacing w:after="120"/>
              <w:jc w:val="both"/>
            </w:pPr>
            <w:r w:rsidRPr="00B07DED">
              <w:t>500 µs</w:t>
            </w:r>
          </w:p>
        </w:tc>
        <w:tc>
          <w:tcPr>
            <w:tcW w:w="2370" w:type="dxa"/>
            <w:hideMark/>
          </w:tcPr>
          <w:p w14:paraId="4985B481" w14:textId="77777777" w:rsidR="003C5A75" w:rsidRPr="00B07DED" w:rsidRDefault="003C5A75">
            <w:pPr>
              <w:autoSpaceDE w:val="0"/>
              <w:autoSpaceDN w:val="0"/>
              <w:adjustRightInd w:val="0"/>
              <w:spacing w:after="120"/>
              <w:jc w:val="both"/>
            </w:pPr>
            <w:r w:rsidRPr="00B07DED">
              <w:t>250 µs</w:t>
            </w:r>
          </w:p>
        </w:tc>
      </w:tr>
      <w:tr w:rsidR="003C5A75" w:rsidRPr="00B07DED" w14:paraId="19EB2103" w14:textId="77777777" w:rsidTr="00AF1171">
        <w:trPr>
          <w:trHeight w:val="372"/>
        </w:trPr>
        <w:tc>
          <w:tcPr>
            <w:tcW w:w="3060" w:type="dxa"/>
            <w:shd w:val="clear" w:color="auto" w:fill="EEECE1" w:themeFill="background2"/>
            <w:hideMark/>
          </w:tcPr>
          <w:p w14:paraId="3E8E6954" w14:textId="77777777" w:rsidR="003C5A75" w:rsidRPr="00B07DED" w:rsidRDefault="003C5A75">
            <w:pPr>
              <w:autoSpaceDE w:val="0"/>
              <w:autoSpaceDN w:val="0"/>
              <w:adjustRightInd w:val="0"/>
              <w:spacing w:after="120"/>
              <w:jc w:val="both"/>
            </w:pPr>
            <w:r w:rsidRPr="00B07DED">
              <w:t>OFDM symbol, duration</w:t>
            </w:r>
          </w:p>
        </w:tc>
        <w:tc>
          <w:tcPr>
            <w:tcW w:w="1795" w:type="dxa"/>
            <w:hideMark/>
          </w:tcPr>
          <w:p w14:paraId="786B9F51" w14:textId="71F80527" w:rsidR="003C5A75" w:rsidRPr="00B07DED" w:rsidRDefault="003C5A75">
            <w:pPr>
              <w:autoSpaceDE w:val="0"/>
              <w:autoSpaceDN w:val="0"/>
              <w:adjustRightInd w:val="0"/>
              <w:spacing w:after="120"/>
              <w:jc w:val="both"/>
            </w:pPr>
            <w:r w:rsidRPr="00B07DED">
              <w:t>66.67 µs</w:t>
            </w:r>
          </w:p>
        </w:tc>
        <w:tc>
          <w:tcPr>
            <w:tcW w:w="2430" w:type="dxa"/>
            <w:hideMark/>
          </w:tcPr>
          <w:p w14:paraId="53CBE487" w14:textId="77777777" w:rsidR="003C5A75" w:rsidRPr="00B07DED" w:rsidRDefault="003C5A75">
            <w:pPr>
              <w:autoSpaceDE w:val="0"/>
              <w:autoSpaceDN w:val="0"/>
              <w:adjustRightInd w:val="0"/>
              <w:spacing w:after="120"/>
              <w:jc w:val="both"/>
            </w:pPr>
            <w:r w:rsidRPr="00B07DED">
              <w:t>33.33 µs</w:t>
            </w:r>
          </w:p>
        </w:tc>
        <w:tc>
          <w:tcPr>
            <w:tcW w:w="2370" w:type="dxa"/>
            <w:hideMark/>
          </w:tcPr>
          <w:p w14:paraId="500B03DB" w14:textId="77777777" w:rsidR="003C5A75" w:rsidRPr="00B07DED" w:rsidRDefault="003C5A75">
            <w:pPr>
              <w:autoSpaceDE w:val="0"/>
              <w:autoSpaceDN w:val="0"/>
              <w:adjustRightInd w:val="0"/>
              <w:spacing w:after="120"/>
              <w:jc w:val="both"/>
            </w:pPr>
            <w:r w:rsidRPr="00B07DED">
              <w:t>16.67 µs</w:t>
            </w:r>
          </w:p>
        </w:tc>
      </w:tr>
      <w:tr w:rsidR="003C5A75" w:rsidRPr="00B07DED" w14:paraId="11243E81" w14:textId="77777777" w:rsidTr="00AF1171">
        <w:trPr>
          <w:trHeight w:val="372"/>
        </w:trPr>
        <w:tc>
          <w:tcPr>
            <w:tcW w:w="3060" w:type="dxa"/>
            <w:shd w:val="clear" w:color="auto" w:fill="EEECE1" w:themeFill="background2"/>
            <w:hideMark/>
          </w:tcPr>
          <w:p w14:paraId="6C5E3A0B" w14:textId="77777777" w:rsidR="003C5A75" w:rsidRPr="00B07DED" w:rsidRDefault="003C5A75">
            <w:pPr>
              <w:autoSpaceDE w:val="0"/>
              <w:autoSpaceDN w:val="0"/>
              <w:adjustRightInd w:val="0"/>
              <w:spacing w:after="120"/>
              <w:jc w:val="both"/>
            </w:pPr>
            <w:r w:rsidRPr="00B07DED">
              <w:t>Cyclic prefix, duration</w:t>
            </w:r>
          </w:p>
        </w:tc>
        <w:tc>
          <w:tcPr>
            <w:tcW w:w="1795" w:type="dxa"/>
            <w:hideMark/>
          </w:tcPr>
          <w:p w14:paraId="75E59C8C" w14:textId="77777777" w:rsidR="003C5A75" w:rsidRPr="00B07DED" w:rsidRDefault="003C5A75">
            <w:pPr>
              <w:autoSpaceDE w:val="0"/>
              <w:autoSpaceDN w:val="0"/>
              <w:adjustRightInd w:val="0"/>
              <w:spacing w:after="120"/>
              <w:jc w:val="both"/>
            </w:pPr>
            <w:r w:rsidRPr="00B07DED">
              <w:t>4.69 µs</w:t>
            </w:r>
          </w:p>
        </w:tc>
        <w:tc>
          <w:tcPr>
            <w:tcW w:w="2430" w:type="dxa"/>
            <w:hideMark/>
          </w:tcPr>
          <w:p w14:paraId="04B39E13" w14:textId="52EA92AB" w:rsidR="003C5A75" w:rsidRPr="00B07DED" w:rsidRDefault="003C5A75">
            <w:pPr>
              <w:autoSpaceDE w:val="0"/>
              <w:autoSpaceDN w:val="0"/>
              <w:adjustRightInd w:val="0"/>
              <w:spacing w:after="120"/>
              <w:jc w:val="both"/>
            </w:pPr>
            <w:r w:rsidRPr="00B07DED">
              <w:t>2.34 µs</w:t>
            </w:r>
          </w:p>
        </w:tc>
        <w:tc>
          <w:tcPr>
            <w:tcW w:w="2370" w:type="dxa"/>
            <w:hideMark/>
          </w:tcPr>
          <w:p w14:paraId="79C3F213" w14:textId="0C097A5F" w:rsidR="003C5A75" w:rsidRPr="00B07DED" w:rsidRDefault="003C5A75">
            <w:pPr>
              <w:autoSpaceDE w:val="0"/>
              <w:autoSpaceDN w:val="0"/>
              <w:adjustRightInd w:val="0"/>
              <w:spacing w:after="120"/>
              <w:jc w:val="both"/>
            </w:pPr>
            <w:r w:rsidRPr="00B07DED">
              <w:t>1.17 µs</w:t>
            </w:r>
          </w:p>
        </w:tc>
      </w:tr>
      <w:tr w:rsidR="003C5A75" w:rsidRPr="00B07DED" w14:paraId="6CAD9BDB" w14:textId="77777777" w:rsidTr="00AF1171">
        <w:trPr>
          <w:trHeight w:val="272"/>
        </w:trPr>
        <w:tc>
          <w:tcPr>
            <w:tcW w:w="3060" w:type="dxa"/>
            <w:shd w:val="clear" w:color="auto" w:fill="EEECE1" w:themeFill="background2"/>
            <w:hideMark/>
          </w:tcPr>
          <w:p w14:paraId="367E8D11" w14:textId="2EC4886E" w:rsidR="003C5A75" w:rsidRPr="00B07DED" w:rsidRDefault="003C5A75">
            <w:pPr>
              <w:autoSpaceDE w:val="0"/>
              <w:autoSpaceDN w:val="0"/>
              <w:adjustRightInd w:val="0"/>
              <w:spacing w:after="120"/>
              <w:jc w:val="both"/>
            </w:pPr>
            <w:r w:rsidRPr="00B07DED">
              <w:t>OFDM symbol</w:t>
            </w:r>
            <w:r>
              <w:t xml:space="preserve"> + CP</w:t>
            </w:r>
          </w:p>
        </w:tc>
        <w:tc>
          <w:tcPr>
            <w:tcW w:w="1795" w:type="dxa"/>
            <w:hideMark/>
          </w:tcPr>
          <w:p w14:paraId="2FF6937A" w14:textId="62A85697" w:rsidR="003C5A75" w:rsidRPr="00B07DED" w:rsidRDefault="003C5A75">
            <w:pPr>
              <w:autoSpaceDE w:val="0"/>
              <w:autoSpaceDN w:val="0"/>
              <w:adjustRightInd w:val="0"/>
              <w:spacing w:after="120"/>
              <w:jc w:val="both"/>
            </w:pPr>
            <w:r w:rsidRPr="00B07DED">
              <w:t>71.35 µs</w:t>
            </w:r>
          </w:p>
        </w:tc>
        <w:tc>
          <w:tcPr>
            <w:tcW w:w="2430" w:type="dxa"/>
            <w:hideMark/>
          </w:tcPr>
          <w:p w14:paraId="2184820B" w14:textId="6F0ED504" w:rsidR="003C5A75" w:rsidRPr="00B07DED" w:rsidRDefault="003C5A75">
            <w:pPr>
              <w:autoSpaceDE w:val="0"/>
              <w:autoSpaceDN w:val="0"/>
              <w:adjustRightInd w:val="0"/>
              <w:spacing w:after="120"/>
              <w:jc w:val="both"/>
            </w:pPr>
            <w:r w:rsidRPr="00B07DED">
              <w:t>35.68 µs</w:t>
            </w:r>
          </w:p>
        </w:tc>
        <w:tc>
          <w:tcPr>
            <w:tcW w:w="2370" w:type="dxa"/>
            <w:hideMark/>
          </w:tcPr>
          <w:p w14:paraId="737DA7D9" w14:textId="270EE574" w:rsidR="003C5A75" w:rsidRPr="00B07DED" w:rsidRDefault="003C5A75">
            <w:pPr>
              <w:autoSpaceDE w:val="0"/>
              <w:autoSpaceDN w:val="0"/>
              <w:adjustRightInd w:val="0"/>
              <w:spacing w:after="120"/>
              <w:jc w:val="both"/>
            </w:pPr>
            <w:r w:rsidRPr="00B07DED">
              <w:t>17.84 µs</w:t>
            </w:r>
          </w:p>
        </w:tc>
      </w:tr>
      <w:tr w:rsidR="003C5A75" w:rsidRPr="00B07DED" w14:paraId="1CAD0262" w14:textId="77777777" w:rsidTr="00AF1171">
        <w:trPr>
          <w:trHeight w:val="353"/>
        </w:trPr>
        <w:tc>
          <w:tcPr>
            <w:tcW w:w="3060" w:type="dxa"/>
            <w:shd w:val="clear" w:color="auto" w:fill="EEECE1" w:themeFill="background2"/>
            <w:hideMark/>
          </w:tcPr>
          <w:p w14:paraId="5B410BA1" w14:textId="1F78904F" w:rsidR="003C5A75" w:rsidRPr="00B07DED" w:rsidRDefault="003C5A75">
            <w:pPr>
              <w:autoSpaceDE w:val="0"/>
              <w:autoSpaceDN w:val="0"/>
              <w:adjustRightInd w:val="0"/>
              <w:spacing w:after="120"/>
              <w:jc w:val="both"/>
            </w:pPr>
            <w:r w:rsidRPr="00B07DED">
              <w:t xml:space="preserve">Max carrier bandwidth </w:t>
            </w:r>
          </w:p>
        </w:tc>
        <w:tc>
          <w:tcPr>
            <w:tcW w:w="1795" w:type="dxa"/>
            <w:hideMark/>
          </w:tcPr>
          <w:p w14:paraId="69680F0E" w14:textId="77777777" w:rsidR="003C5A75" w:rsidRPr="00B07DED" w:rsidRDefault="003C5A75">
            <w:pPr>
              <w:autoSpaceDE w:val="0"/>
              <w:autoSpaceDN w:val="0"/>
              <w:adjustRightInd w:val="0"/>
              <w:spacing w:after="120"/>
              <w:jc w:val="both"/>
            </w:pPr>
            <w:r w:rsidRPr="00B07DED">
              <w:t>50 MHz</w:t>
            </w:r>
          </w:p>
        </w:tc>
        <w:tc>
          <w:tcPr>
            <w:tcW w:w="2430" w:type="dxa"/>
            <w:hideMark/>
          </w:tcPr>
          <w:p w14:paraId="581677AF" w14:textId="77777777" w:rsidR="003C5A75" w:rsidRPr="00B07DED" w:rsidRDefault="003C5A75">
            <w:pPr>
              <w:autoSpaceDE w:val="0"/>
              <w:autoSpaceDN w:val="0"/>
              <w:adjustRightInd w:val="0"/>
              <w:spacing w:after="120"/>
              <w:jc w:val="both"/>
            </w:pPr>
            <w:r w:rsidRPr="00B07DED">
              <w:t>100 MHz</w:t>
            </w:r>
          </w:p>
        </w:tc>
        <w:tc>
          <w:tcPr>
            <w:tcW w:w="2370" w:type="dxa"/>
            <w:hideMark/>
          </w:tcPr>
          <w:p w14:paraId="70FA481E" w14:textId="77777777" w:rsidR="003C5A75" w:rsidRPr="00B07DED" w:rsidRDefault="003C5A75">
            <w:pPr>
              <w:autoSpaceDE w:val="0"/>
              <w:autoSpaceDN w:val="0"/>
              <w:adjustRightInd w:val="0"/>
              <w:spacing w:after="120"/>
              <w:jc w:val="both"/>
            </w:pPr>
            <w:r w:rsidRPr="00B07DED">
              <w:t>200 MHz</w:t>
            </w:r>
          </w:p>
        </w:tc>
      </w:tr>
      <w:tr w:rsidR="003C5A75" w:rsidRPr="00B07DED" w14:paraId="223E7DA0" w14:textId="77777777" w:rsidTr="00AF1171">
        <w:trPr>
          <w:trHeight w:val="1250"/>
        </w:trPr>
        <w:tc>
          <w:tcPr>
            <w:tcW w:w="3060" w:type="dxa"/>
            <w:shd w:val="clear" w:color="auto" w:fill="EEECE1" w:themeFill="background2"/>
          </w:tcPr>
          <w:p w14:paraId="246A1975" w14:textId="2EB4B316" w:rsidR="003C5A75" w:rsidRPr="00B07DED" w:rsidRDefault="003C5A75">
            <w:pPr>
              <w:autoSpaceDE w:val="0"/>
              <w:autoSpaceDN w:val="0"/>
              <w:adjustRightInd w:val="0"/>
              <w:spacing w:after="120"/>
              <w:jc w:val="both"/>
            </w:pPr>
            <w:r>
              <w:t>Use case</w:t>
            </w:r>
          </w:p>
        </w:tc>
        <w:tc>
          <w:tcPr>
            <w:tcW w:w="1795" w:type="dxa"/>
          </w:tcPr>
          <w:p w14:paraId="155F5CBF" w14:textId="40D983FA" w:rsidR="003C5A75" w:rsidRPr="00B07DED" w:rsidRDefault="003C5A75">
            <w:pPr>
              <w:autoSpaceDE w:val="0"/>
              <w:autoSpaceDN w:val="0"/>
              <w:adjustRightInd w:val="0"/>
              <w:spacing w:after="120"/>
              <w:jc w:val="both"/>
            </w:pPr>
            <w:proofErr w:type="gramStart"/>
            <w:r>
              <w:t>Similar to</w:t>
            </w:r>
            <w:proofErr w:type="gramEnd"/>
            <w:r>
              <w:t xml:space="preserve"> </w:t>
            </w:r>
            <w:proofErr w:type="spellStart"/>
            <w:r>
              <w:t>LAA</w:t>
            </w:r>
            <w:proofErr w:type="spellEnd"/>
          </w:p>
        </w:tc>
        <w:tc>
          <w:tcPr>
            <w:tcW w:w="2430" w:type="dxa"/>
          </w:tcPr>
          <w:p w14:paraId="0675CA8E" w14:textId="3FA01793" w:rsidR="003C5A75" w:rsidRPr="00B07DED" w:rsidRDefault="003C5A75">
            <w:pPr>
              <w:autoSpaceDE w:val="0"/>
              <w:autoSpaceDN w:val="0"/>
              <w:adjustRightInd w:val="0"/>
              <w:spacing w:after="120"/>
              <w:jc w:val="both"/>
            </w:pPr>
            <w:r>
              <w:t>small</w:t>
            </w:r>
            <w:r w:rsidRPr="00B07DED">
              <w:t xml:space="preserve"> cells</w:t>
            </w:r>
            <w:r>
              <w:t xml:space="preserve">/ 2 times better access granularity compared to </w:t>
            </w:r>
            <w:proofErr w:type="spellStart"/>
            <w:r>
              <w:t>LAA</w:t>
            </w:r>
            <w:proofErr w:type="spellEnd"/>
            <w:r>
              <w:t>/reduced latency</w:t>
            </w:r>
          </w:p>
        </w:tc>
        <w:tc>
          <w:tcPr>
            <w:tcW w:w="2370" w:type="dxa"/>
          </w:tcPr>
          <w:p w14:paraId="6FE861C8" w14:textId="02CFB64D" w:rsidR="003C5A75" w:rsidRPr="00B07DED" w:rsidRDefault="003C5A75">
            <w:pPr>
              <w:autoSpaceDE w:val="0"/>
              <w:autoSpaceDN w:val="0"/>
              <w:adjustRightInd w:val="0"/>
              <w:spacing w:after="120"/>
              <w:jc w:val="both"/>
            </w:pPr>
            <w:r>
              <w:t>small</w:t>
            </w:r>
            <w:r w:rsidRPr="00B07DED">
              <w:t xml:space="preserve"> cells</w:t>
            </w:r>
            <w:r>
              <w:t xml:space="preserve">/ 4 times better access granularity compared to </w:t>
            </w:r>
            <w:proofErr w:type="spellStart"/>
            <w:r>
              <w:t>LAA</w:t>
            </w:r>
            <w:proofErr w:type="spellEnd"/>
            <w:r>
              <w:t>/ reduced latency</w:t>
            </w:r>
          </w:p>
        </w:tc>
      </w:tr>
    </w:tbl>
    <w:p w14:paraId="07DF74AA" w14:textId="77777777" w:rsidR="00D55E63" w:rsidRDefault="00D55E63">
      <w:pPr>
        <w:autoSpaceDE w:val="0"/>
        <w:autoSpaceDN w:val="0"/>
        <w:adjustRightInd w:val="0"/>
        <w:spacing w:after="120"/>
        <w:jc w:val="both"/>
      </w:pPr>
    </w:p>
    <w:p w14:paraId="2844B353" w14:textId="784E85D7" w:rsidR="009F7BA6" w:rsidRDefault="00E57EE0">
      <w:pPr>
        <w:autoSpaceDE w:val="0"/>
        <w:autoSpaceDN w:val="0"/>
        <w:adjustRightInd w:val="0"/>
        <w:spacing w:after="120"/>
        <w:jc w:val="both"/>
      </w:pPr>
      <w:r>
        <w:t xml:space="preserve">With 30 kHz or 60 kHz subcarrier spacing, </w:t>
      </w:r>
      <w:r w:rsidR="009F7BA6">
        <w:t xml:space="preserve">OFDM symbol duration is </w:t>
      </w:r>
      <w:r w:rsidR="0033603D">
        <w:t xml:space="preserve">two and 4 times shorter </w:t>
      </w:r>
      <w:r w:rsidR="009F7BA6">
        <w:t>than</w:t>
      </w:r>
      <w:r>
        <w:t xml:space="preserve"> in</w:t>
      </w:r>
      <w:r w:rsidR="009F7BA6">
        <w:t xml:space="preserve"> LTE</w:t>
      </w:r>
      <w:r w:rsidR="0033603D">
        <w:t>, respectively</w:t>
      </w:r>
      <w:r w:rsidR="009F7BA6">
        <w:t xml:space="preserve">. In addition, NR shall be able to support mini-slot with even shorter length and reduced latency than a </w:t>
      </w:r>
      <w:r>
        <w:t>regular s</w:t>
      </w:r>
      <w:r w:rsidR="009F7BA6">
        <w:t xml:space="preserve">lot. All these designs for NR make the transmission granularity much smaller and it can be expected that NR </w:t>
      </w:r>
      <w:r>
        <w:t xml:space="preserve">operation in unlicensed spectrum </w:t>
      </w:r>
      <w:r w:rsidR="009F7BA6">
        <w:t>shall have</w:t>
      </w:r>
      <w:r w:rsidR="0033603D">
        <w:t xml:space="preserve"> further </w:t>
      </w:r>
      <w:proofErr w:type="spellStart"/>
      <w:r w:rsidR="0033603D">
        <w:t>imporoved</w:t>
      </w:r>
      <w:proofErr w:type="spellEnd"/>
      <w:r w:rsidR="0033603D">
        <w:t xml:space="preserve"> co-existence performance compared to </w:t>
      </w:r>
      <w:proofErr w:type="spellStart"/>
      <w:r w:rsidR="0033603D">
        <w:t>LAA</w:t>
      </w:r>
      <w:proofErr w:type="spellEnd"/>
      <w:r w:rsidR="0033603D">
        <w:t>.</w:t>
      </w:r>
      <w:r w:rsidR="009F7BA6">
        <w:t xml:space="preserve"> Therefore, there is no need to conduct co-existence study for NR </w:t>
      </w:r>
      <w:r w:rsidR="00EF0975">
        <w:t>operation</w:t>
      </w:r>
      <w:r w:rsidR="00AF1171">
        <w:t xml:space="preserve"> at 5GHz </w:t>
      </w:r>
      <w:r w:rsidR="00EF0975">
        <w:t>unlicensed spectrum</w:t>
      </w:r>
      <w:r w:rsidR="009F7BA6">
        <w:t>.</w:t>
      </w:r>
    </w:p>
    <w:p w14:paraId="6A519C34" w14:textId="2CD7D463" w:rsidR="006E64F4" w:rsidRPr="002107E6" w:rsidRDefault="009919EB" w:rsidP="002107E6">
      <w:pPr>
        <w:pStyle w:val="Observation"/>
        <w:numPr>
          <w:ilvl w:val="0"/>
          <w:numId w:val="0"/>
        </w:numPr>
        <w:ind w:left="360" w:hanging="360"/>
        <w:rPr>
          <w:rFonts w:asciiTheme="majorBidi" w:hAnsiTheme="majorBidi" w:cstheme="majorBidi"/>
          <w:i/>
          <w:iCs/>
        </w:rPr>
      </w:pPr>
      <w:r w:rsidRPr="002107E6">
        <w:rPr>
          <w:rFonts w:asciiTheme="majorBidi" w:hAnsiTheme="majorBidi" w:cstheme="majorBidi"/>
          <w:i/>
          <w:iCs/>
        </w:rPr>
        <w:t xml:space="preserve">Observation </w:t>
      </w:r>
      <w:r w:rsidR="00513B7D">
        <w:rPr>
          <w:rFonts w:asciiTheme="majorBidi" w:hAnsiTheme="majorBidi" w:cstheme="majorBidi"/>
          <w:i/>
          <w:iCs/>
        </w:rPr>
        <w:t xml:space="preserve">2: </w:t>
      </w:r>
    </w:p>
    <w:p w14:paraId="4F68C696" w14:textId="537E9DC3" w:rsidR="006E64F4" w:rsidRPr="002107E6" w:rsidRDefault="006E64F4" w:rsidP="002107E6">
      <w:pPr>
        <w:pStyle w:val="Observation"/>
        <w:numPr>
          <w:ilvl w:val="1"/>
          <w:numId w:val="12"/>
        </w:numPr>
        <w:rPr>
          <w:rFonts w:asciiTheme="majorBidi" w:hAnsiTheme="majorBidi" w:cstheme="majorBidi"/>
          <w:i/>
          <w:iCs/>
        </w:rPr>
      </w:pPr>
      <w:r w:rsidRPr="002107E6">
        <w:rPr>
          <w:rFonts w:asciiTheme="majorBidi" w:hAnsiTheme="majorBidi" w:cstheme="majorBidi"/>
          <w:i/>
          <w:iCs/>
        </w:rPr>
        <w:t xml:space="preserve">NR operation in unlicensed spectrum </w:t>
      </w:r>
      <w:r w:rsidR="003C5A75" w:rsidRPr="002107E6">
        <w:rPr>
          <w:rFonts w:asciiTheme="majorBidi" w:hAnsiTheme="majorBidi" w:cstheme="majorBidi"/>
          <w:i/>
          <w:iCs/>
        </w:rPr>
        <w:t>is expected to</w:t>
      </w:r>
      <w:r w:rsidRPr="002107E6">
        <w:rPr>
          <w:rFonts w:asciiTheme="majorBidi" w:hAnsiTheme="majorBidi" w:cstheme="majorBidi"/>
          <w:i/>
          <w:iCs/>
        </w:rPr>
        <w:t xml:space="preserve"> have </w:t>
      </w:r>
      <w:r w:rsidR="00072730">
        <w:rPr>
          <w:rFonts w:asciiTheme="majorBidi" w:hAnsiTheme="majorBidi" w:cstheme="majorBidi"/>
          <w:i/>
          <w:iCs/>
        </w:rPr>
        <w:t>finer</w:t>
      </w:r>
      <w:r w:rsidRPr="002107E6">
        <w:rPr>
          <w:rFonts w:asciiTheme="majorBidi" w:hAnsiTheme="majorBidi" w:cstheme="majorBidi"/>
          <w:i/>
          <w:iCs/>
        </w:rPr>
        <w:t xml:space="preserve"> transmission granularity than </w:t>
      </w:r>
      <w:proofErr w:type="spellStart"/>
      <w:r w:rsidRPr="002107E6">
        <w:rPr>
          <w:rFonts w:asciiTheme="majorBidi" w:hAnsiTheme="majorBidi" w:cstheme="majorBidi"/>
          <w:i/>
          <w:iCs/>
        </w:rPr>
        <w:t>L</w:t>
      </w:r>
      <w:r w:rsidR="00072730">
        <w:rPr>
          <w:rFonts w:asciiTheme="majorBidi" w:hAnsiTheme="majorBidi" w:cstheme="majorBidi"/>
          <w:i/>
          <w:iCs/>
        </w:rPr>
        <w:t>AA</w:t>
      </w:r>
      <w:proofErr w:type="spellEnd"/>
      <w:r w:rsidRPr="002107E6">
        <w:rPr>
          <w:rFonts w:asciiTheme="majorBidi" w:hAnsiTheme="majorBidi" w:cstheme="majorBidi"/>
          <w:i/>
          <w:iCs/>
        </w:rPr>
        <w:t xml:space="preserve"> </w:t>
      </w:r>
      <w:r w:rsidR="00072730">
        <w:rPr>
          <w:rFonts w:asciiTheme="majorBidi" w:hAnsiTheme="majorBidi" w:cstheme="majorBidi"/>
          <w:i/>
          <w:iCs/>
        </w:rPr>
        <w:t xml:space="preserve">enabling further improved co-existence performance. </w:t>
      </w:r>
      <w:r w:rsidR="00D35E18">
        <w:rPr>
          <w:rFonts w:asciiTheme="majorBidi" w:hAnsiTheme="majorBidi" w:cstheme="majorBidi"/>
          <w:i/>
          <w:iCs/>
        </w:rPr>
        <w:t xml:space="preserve">Thus, </w:t>
      </w:r>
      <w:r w:rsidR="00D35E18" w:rsidRPr="002107E6">
        <w:rPr>
          <w:rFonts w:asciiTheme="majorBidi" w:hAnsiTheme="majorBidi" w:cstheme="majorBidi"/>
          <w:i/>
          <w:iCs/>
        </w:rPr>
        <w:t>a</w:t>
      </w:r>
      <w:r w:rsidR="00072730">
        <w:rPr>
          <w:rFonts w:asciiTheme="majorBidi" w:hAnsiTheme="majorBidi" w:cstheme="majorBidi"/>
          <w:i/>
          <w:iCs/>
        </w:rPr>
        <w:t xml:space="preserve"> new</w:t>
      </w:r>
      <w:r w:rsidR="00072730" w:rsidRPr="002107E6">
        <w:rPr>
          <w:rFonts w:asciiTheme="majorBidi" w:hAnsiTheme="majorBidi" w:cstheme="majorBidi"/>
          <w:i/>
          <w:iCs/>
        </w:rPr>
        <w:t xml:space="preserve"> </w:t>
      </w:r>
      <w:r w:rsidRPr="002107E6">
        <w:rPr>
          <w:rFonts w:asciiTheme="majorBidi" w:hAnsiTheme="majorBidi" w:cstheme="majorBidi"/>
          <w:i/>
          <w:iCs/>
        </w:rPr>
        <w:t xml:space="preserve">co-existence study </w:t>
      </w:r>
      <w:r w:rsidR="00AF1171" w:rsidRPr="002107E6">
        <w:rPr>
          <w:rFonts w:asciiTheme="majorBidi" w:hAnsiTheme="majorBidi" w:cstheme="majorBidi"/>
          <w:i/>
          <w:iCs/>
        </w:rPr>
        <w:t xml:space="preserve">at 5GHz unlicensed spectrum </w:t>
      </w:r>
      <w:r w:rsidRPr="002107E6">
        <w:rPr>
          <w:rFonts w:asciiTheme="majorBidi" w:hAnsiTheme="majorBidi" w:cstheme="majorBidi"/>
          <w:i/>
          <w:iCs/>
        </w:rPr>
        <w:t>is not needed.</w:t>
      </w:r>
    </w:p>
    <w:p w14:paraId="336A5950" w14:textId="5D86F0B9" w:rsidR="00F55038" w:rsidRPr="00462417" w:rsidRDefault="009919EB" w:rsidP="003C5A75">
      <w:pPr>
        <w:pStyle w:val="Heading2"/>
        <w:jc w:val="both"/>
      </w:pPr>
      <w:r w:rsidRPr="00462417">
        <w:lastRenderedPageBreak/>
        <w:t>Numerology design for High Frequency bands</w:t>
      </w:r>
    </w:p>
    <w:p w14:paraId="0FC47881" w14:textId="530C40E0" w:rsidR="00F55038" w:rsidRPr="003E6497" w:rsidRDefault="00AF1171" w:rsidP="00EE5DD4">
      <w:pPr>
        <w:autoSpaceDE w:val="0"/>
        <w:autoSpaceDN w:val="0"/>
        <w:adjustRightInd w:val="0"/>
        <w:spacing w:after="120"/>
        <w:jc w:val="both"/>
      </w:pPr>
      <w:r>
        <w:t>In this section</w:t>
      </w:r>
      <w:r w:rsidR="00F55038" w:rsidRPr="003E6497">
        <w:t>, we discuss the OFDM numerology design to operate NR in unlicensed spectrum for 60GHz.</w:t>
      </w:r>
    </w:p>
    <w:p w14:paraId="001EA3D3" w14:textId="292E4786" w:rsidR="004E46EE" w:rsidRPr="003E6497" w:rsidRDefault="000606B7" w:rsidP="00EE5DD4">
      <w:pPr>
        <w:autoSpaceDE w:val="0"/>
        <w:autoSpaceDN w:val="0"/>
        <w:adjustRightInd w:val="0"/>
        <w:spacing w:after="120"/>
        <w:jc w:val="both"/>
      </w:pPr>
      <w:r w:rsidRPr="003E6497">
        <w:t xml:space="preserve">NR Rel-15 focused on frequencies up to 40GHz, and therefore further studies </w:t>
      </w:r>
      <w:r w:rsidR="00AE0AE6">
        <w:t>may be</w:t>
      </w:r>
      <w:r w:rsidR="00AE0AE6" w:rsidRPr="003E6497">
        <w:t xml:space="preserve"> </w:t>
      </w:r>
      <w:r w:rsidRPr="003E6497">
        <w:t>need</w:t>
      </w:r>
      <w:r w:rsidR="004E46EE" w:rsidRPr="003E6497">
        <w:t>ed</w:t>
      </w:r>
      <w:r w:rsidRPr="003E6497">
        <w:t xml:space="preserve"> to </w:t>
      </w:r>
      <w:r w:rsidR="00462417">
        <w:t>determine a</w:t>
      </w:r>
      <w:r w:rsidR="004E46EE" w:rsidRPr="003E6497">
        <w:t xml:space="preserve"> suitable subcarrier spacing for </w:t>
      </w:r>
      <w:r w:rsidR="00AE0AE6">
        <w:t xml:space="preserve">the </w:t>
      </w:r>
      <w:r w:rsidR="004E46EE" w:rsidRPr="003E6497">
        <w:t xml:space="preserve">60GHz band. </w:t>
      </w:r>
      <w:r w:rsidR="00CD1742">
        <w:t>W</w:t>
      </w:r>
      <w:r w:rsidR="004E46EE" w:rsidRPr="003E6497">
        <w:t>e consider it appropriate to consider such studies</w:t>
      </w:r>
      <w:r w:rsidR="00CD1742">
        <w:t xml:space="preserve"> in tandem to studies </w:t>
      </w:r>
      <w:r w:rsidR="00AE0AE6">
        <w:t xml:space="preserve">that may include </w:t>
      </w:r>
      <w:r w:rsidR="00CD1742">
        <w:t xml:space="preserve">potential enhancements to channel access mechanisms, </w:t>
      </w:r>
      <w:r w:rsidR="004E46EE" w:rsidRPr="003E6497">
        <w:t>after the general discussion for lower bands, e.g., 5 GHz, 6 GHz is complete.</w:t>
      </w:r>
    </w:p>
    <w:p w14:paraId="3439B96C" w14:textId="4368CAE3" w:rsidR="004E46EE" w:rsidRPr="003E6497" w:rsidRDefault="004E46EE" w:rsidP="00EE5DD4">
      <w:pPr>
        <w:autoSpaceDE w:val="0"/>
        <w:autoSpaceDN w:val="0"/>
        <w:adjustRightInd w:val="0"/>
        <w:spacing w:after="120"/>
        <w:jc w:val="both"/>
      </w:pPr>
      <w:r w:rsidRPr="003E6497">
        <w:t xml:space="preserve">Nevertheless, both [4] and [5] noted that with a subcarrier spacing of 60 kHz, robustness towards phase noise is sufficient up to 30 to 40 GHz. Therefore, for 60GHz operation at least larger than 60 kHz </w:t>
      </w:r>
      <w:proofErr w:type="spellStart"/>
      <w:r w:rsidRPr="003E6497">
        <w:t>SCS</w:t>
      </w:r>
      <w:proofErr w:type="spellEnd"/>
      <w:r w:rsidRPr="003E6497">
        <w:t xml:space="preserve"> (e.g. 120 kHz) is required.  </w:t>
      </w:r>
    </w:p>
    <w:p w14:paraId="12FB9176" w14:textId="075D77EF" w:rsidR="004E46EE" w:rsidRPr="002107E6" w:rsidRDefault="004E46EE" w:rsidP="002107E6">
      <w:pPr>
        <w:pStyle w:val="Observation"/>
        <w:numPr>
          <w:ilvl w:val="0"/>
          <w:numId w:val="0"/>
        </w:numPr>
        <w:ind w:left="360" w:hanging="360"/>
        <w:rPr>
          <w:rFonts w:asciiTheme="majorBidi" w:hAnsiTheme="majorBidi" w:cstheme="majorBidi"/>
          <w:i/>
          <w:iCs/>
        </w:rPr>
      </w:pPr>
      <w:r w:rsidRPr="002107E6">
        <w:rPr>
          <w:rFonts w:asciiTheme="majorBidi" w:hAnsiTheme="majorBidi" w:cstheme="majorBidi"/>
          <w:i/>
          <w:iCs/>
        </w:rPr>
        <w:t xml:space="preserve"> Observation </w:t>
      </w:r>
      <w:r w:rsidR="00513B7D">
        <w:rPr>
          <w:rFonts w:asciiTheme="majorBidi" w:hAnsiTheme="majorBidi" w:cstheme="majorBidi"/>
          <w:i/>
          <w:iCs/>
        </w:rPr>
        <w:t xml:space="preserve">3: </w:t>
      </w:r>
    </w:p>
    <w:p w14:paraId="7AFFDBC5" w14:textId="7C98EAB7" w:rsidR="009919EB" w:rsidRPr="002107E6" w:rsidRDefault="004E46EE" w:rsidP="002107E6">
      <w:pPr>
        <w:pStyle w:val="Observation"/>
        <w:numPr>
          <w:ilvl w:val="1"/>
          <w:numId w:val="12"/>
        </w:numPr>
        <w:rPr>
          <w:rFonts w:asciiTheme="majorBidi" w:hAnsiTheme="majorBidi" w:cstheme="majorBidi"/>
          <w:i/>
          <w:iCs/>
        </w:rPr>
      </w:pPr>
      <w:r w:rsidRPr="002107E6">
        <w:rPr>
          <w:rFonts w:asciiTheme="majorBidi" w:hAnsiTheme="majorBidi" w:cstheme="majorBidi"/>
          <w:i/>
          <w:iCs/>
        </w:rPr>
        <w:t xml:space="preserve">For 60GHz operation at least larger than 60 kHz </w:t>
      </w:r>
      <w:proofErr w:type="spellStart"/>
      <w:r w:rsidRPr="002107E6">
        <w:rPr>
          <w:rFonts w:asciiTheme="majorBidi" w:hAnsiTheme="majorBidi" w:cstheme="majorBidi"/>
          <w:i/>
          <w:iCs/>
        </w:rPr>
        <w:t>SCS</w:t>
      </w:r>
      <w:proofErr w:type="spellEnd"/>
      <w:r w:rsidRPr="002107E6">
        <w:rPr>
          <w:rFonts w:asciiTheme="majorBidi" w:hAnsiTheme="majorBidi" w:cstheme="majorBidi"/>
          <w:i/>
          <w:iCs/>
        </w:rPr>
        <w:t xml:space="preserve"> (e.g. 120 kHz) is required.  </w:t>
      </w:r>
    </w:p>
    <w:p w14:paraId="7ADE0F5F" w14:textId="77777777" w:rsidR="00424DB8" w:rsidRDefault="00424DB8">
      <w:pPr>
        <w:pStyle w:val="Heading1"/>
        <w:keepLines/>
        <w:pBdr>
          <w:top w:val="single" w:sz="12" w:space="3" w:color="auto"/>
        </w:pBdr>
        <w:tabs>
          <w:tab w:val="num" w:pos="432"/>
        </w:tabs>
        <w:overflowPunct w:val="0"/>
        <w:autoSpaceDE w:val="0"/>
        <w:autoSpaceDN w:val="0"/>
        <w:adjustRightInd w:val="0"/>
        <w:spacing w:after="120"/>
        <w:jc w:val="both"/>
        <w:textAlignment w:val="baseline"/>
      </w:pPr>
      <w:bookmarkStart w:id="12" w:name="_Toc458153812"/>
      <w:r>
        <w:t>Conclusion</w:t>
      </w:r>
      <w:bookmarkEnd w:id="12"/>
    </w:p>
    <w:p w14:paraId="340096C4" w14:textId="717C25E7" w:rsidR="00022DEC" w:rsidRDefault="006907EA">
      <w:pPr>
        <w:spacing w:after="120"/>
        <w:jc w:val="both"/>
        <w:rPr>
          <w:szCs w:val="22"/>
        </w:rPr>
      </w:pPr>
      <w:r w:rsidRPr="00DF3C84">
        <w:rPr>
          <w:szCs w:val="22"/>
        </w:rPr>
        <w:t>In this paper, we discuss</w:t>
      </w:r>
      <w:r w:rsidR="00E17276">
        <w:rPr>
          <w:szCs w:val="22"/>
        </w:rPr>
        <w:t>ed</w:t>
      </w:r>
      <w:r w:rsidR="00D6394E" w:rsidRPr="00D6394E">
        <w:t xml:space="preserve"> </w:t>
      </w:r>
      <w:r w:rsidR="00D6394E">
        <w:t>OFDM numerology design to operate NR in unlicensed spectrum</w:t>
      </w:r>
      <w:r w:rsidRPr="00DF3C84">
        <w:rPr>
          <w:szCs w:val="22"/>
        </w:rPr>
        <w:t xml:space="preserve">. </w:t>
      </w:r>
      <w:r w:rsidR="00D6394E">
        <w:rPr>
          <w:szCs w:val="22"/>
        </w:rPr>
        <w:t xml:space="preserve">Based on the discussion, </w:t>
      </w:r>
      <w:r w:rsidR="00E17276">
        <w:rPr>
          <w:szCs w:val="22"/>
        </w:rPr>
        <w:t>we made the following observations:</w:t>
      </w:r>
    </w:p>
    <w:p w14:paraId="1BEB6FD6" w14:textId="054FBF25" w:rsidR="009B5776" w:rsidRPr="002107E6" w:rsidRDefault="009B5776" w:rsidP="002107E6">
      <w:pPr>
        <w:pStyle w:val="Observation"/>
        <w:numPr>
          <w:ilvl w:val="0"/>
          <w:numId w:val="0"/>
        </w:numPr>
        <w:ind w:left="360" w:hanging="360"/>
        <w:rPr>
          <w:rFonts w:asciiTheme="majorBidi" w:hAnsiTheme="majorBidi" w:cstheme="majorBidi"/>
          <w:i/>
          <w:iCs/>
        </w:rPr>
      </w:pPr>
      <w:r w:rsidRPr="002107E6">
        <w:rPr>
          <w:rFonts w:asciiTheme="majorBidi" w:hAnsiTheme="majorBidi" w:cstheme="majorBidi"/>
          <w:i/>
          <w:iCs/>
        </w:rPr>
        <w:t>Observations:</w:t>
      </w:r>
    </w:p>
    <w:p w14:paraId="0EAE655B" w14:textId="736C46F7" w:rsidR="009B5776" w:rsidRPr="002107E6" w:rsidRDefault="00EE473E" w:rsidP="002107E6">
      <w:pPr>
        <w:pStyle w:val="Observation"/>
        <w:numPr>
          <w:ilvl w:val="1"/>
          <w:numId w:val="12"/>
        </w:numPr>
        <w:rPr>
          <w:rFonts w:asciiTheme="majorBidi" w:hAnsiTheme="majorBidi" w:cstheme="majorBidi"/>
          <w:b w:val="0"/>
          <w:bCs w:val="0"/>
          <w:i/>
          <w:iCs/>
        </w:rPr>
      </w:pPr>
      <w:r w:rsidRPr="002107E6">
        <w:rPr>
          <w:rFonts w:asciiTheme="majorBidi" w:hAnsiTheme="majorBidi" w:cstheme="majorBidi"/>
          <w:b w:val="0"/>
          <w:bCs w:val="0"/>
          <w:i/>
          <w:iCs/>
        </w:rPr>
        <w:t>15kHz, 30 kHz and 60 kHz subcarrier spacing can be considered for NR unlicensed @ 5 GHz and 6GHz.</w:t>
      </w:r>
    </w:p>
    <w:p w14:paraId="42ECDEDF" w14:textId="40E87FB4" w:rsidR="00EE473E" w:rsidRPr="002107E6" w:rsidRDefault="00EE473E" w:rsidP="002107E6">
      <w:pPr>
        <w:pStyle w:val="Observation"/>
        <w:numPr>
          <w:ilvl w:val="1"/>
          <w:numId w:val="12"/>
        </w:numPr>
        <w:rPr>
          <w:rFonts w:asciiTheme="majorBidi" w:hAnsiTheme="majorBidi" w:cstheme="majorBidi"/>
          <w:b w:val="0"/>
          <w:bCs w:val="0"/>
          <w:i/>
          <w:iCs/>
        </w:rPr>
      </w:pPr>
      <w:r w:rsidRPr="002107E6">
        <w:rPr>
          <w:rFonts w:asciiTheme="majorBidi" w:hAnsiTheme="majorBidi" w:cstheme="majorBidi"/>
          <w:b w:val="0"/>
          <w:bCs w:val="0"/>
          <w:i/>
          <w:iCs/>
        </w:rPr>
        <w:t xml:space="preserve">NR operation in unlicensed spectrum </w:t>
      </w:r>
      <w:r w:rsidR="00AF1171" w:rsidRPr="002107E6">
        <w:rPr>
          <w:rFonts w:asciiTheme="majorBidi" w:hAnsiTheme="majorBidi" w:cstheme="majorBidi"/>
          <w:b w:val="0"/>
          <w:bCs w:val="0"/>
          <w:i/>
          <w:iCs/>
        </w:rPr>
        <w:t xml:space="preserve">is expected to have </w:t>
      </w:r>
      <w:r w:rsidRPr="002107E6">
        <w:rPr>
          <w:rFonts w:asciiTheme="majorBidi" w:hAnsiTheme="majorBidi" w:cstheme="majorBidi"/>
          <w:b w:val="0"/>
          <w:bCs w:val="0"/>
          <w:i/>
          <w:iCs/>
        </w:rPr>
        <w:t xml:space="preserve">much better transmission granularity than LTE and therefore co-existence </w:t>
      </w:r>
      <w:r w:rsidR="00AF1171" w:rsidRPr="002107E6">
        <w:rPr>
          <w:rFonts w:asciiTheme="majorBidi" w:hAnsiTheme="majorBidi" w:cstheme="majorBidi"/>
          <w:b w:val="0"/>
          <w:bCs w:val="0"/>
          <w:i/>
          <w:iCs/>
        </w:rPr>
        <w:t xml:space="preserve">study at 5GHz unlicensed spectrum </w:t>
      </w:r>
      <w:r w:rsidRPr="002107E6">
        <w:rPr>
          <w:rFonts w:asciiTheme="majorBidi" w:hAnsiTheme="majorBidi" w:cstheme="majorBidi"/>
          <w:b w:val="0"/>
          <w:bCs w:val="0"/>
          <w:i/>
          <w:iCs/>
        </w:rPr>
        <w:t>is not needed.</w:t>
      </w:r>
    </w:p>
    <w:p w14:paraId="2C6EAB88" w14:textId="483CCCA3" w:rsidR="009B5776" w:rsidRPr="002107E6" w:rsidRDefault="00EE473E" w:rsidP="002107E6">
      <w:pPr>
        <w:pStyle w:val="Observation"/>
        <w:numPr>
          <w:ilvl w:val="1"/>
          <w:numId w:val="12"/>
        </w:numPr>
        <w:rPr>
          <w:rFonts w:asciiTheme="majorBidi" w:hAnsiTheme="majorBidi" w:cstheme="majorBidi"/>
          <w:b w:val="0"/>
          <w:bCs w:val="0"/>
          <w:i/>
          <w:iCs/>
        </w:rPr>
      </w:pPr>
      <w:r w:rsidRPr="002107E6">
        <w:rPr>
          <w:rFonts w:asciiTheme="majorBidi" w:hAnsiTheme="majorBidi" w:cstheme="majorBidi"/>
          <w:b w:val="0"/>
          <w:bCs w:val="0"/>
          <w:i/>
          <w:iCs/>
        </w:rPr>
        <w:t xml:space="preserve">For 60GHz operation at least larger than 60 kHz </w:t>
      </w:r>
      <w:proofErr w:type="spellStart"/>
      <w:r w:rsidRPr="002107E6">
        <w:rPr>
          <w:rFonts w:asciiTheme="majorBidi" w:hAnsiTheme="majorBidi" w:cstheme="majorBidi"/>
          <w:b w:val="0"/>
          <w:bCs w:val="0"/>
          <w:i/>
          <w:iCs/>
        </w:rPr>
        <w:t>SCS</w:t>
      </w:r>
      <w:proofErr w:type="spellEnd"/>
      <w:r w:rsidRPr="002107E6">
        <w:rPr>
          <w:rFonts w:asciiTheme="majorBidi" w:hAnsiTheme="majorBidi" w:cstheme="majorBidi"/>
          <w:b w:val="0"/>
          <w:bCs w:val="0"/>
          <w:i/>
          <w:iCs/>
        </w:rPr>
        <w:t xml:space="preserve"> (e.g. 120 kHz) is required.  </w:t>
      </w:r>
    </w:p>
    <w:p w14:paraId="289D17D9" w14:textId="533C07C5" w:rsidR="009B5776" w:rsidRPr="002107E6" w:rsidRDefault="009B5776" w:rsidP="002107E6">
      <w:pPr>
        <w:pStyle w:val="Observation"/>
        <w:numPr>
          <w:ilvl w:val="0"/>
          <w:numId w:val="0"/>
        </w:numPr>
        <w:ind w:left="360" w:hanging="360"/>
        <w:rPr>
          <w:rFonts w:asciiTheme="majorBidi" w:hAnsiTheme="majorBidi" w:cstheme="majorBidi"/>
          <w:i/>
          <w:iCs/>
        </w:rPr>
      </w:pPr>
      <w:r w:rsidRPr="002107E6">
        <w:rPr>
          <w:rFonts w:asciiTheme="majorBidi" w:hAnsiTheme="majorBidi" w:cstheme="majorBidi"/>
          <w:i/>
          <w:iCs/>
        </w:rPr>
        <w:t xml:space="preserve">Proposals: </w:t>
      </w:r>
    </w:p>
    <w:p w14:paraId="52AAF1E0" w14:textId="4DD612D3" w:rsidR="009B5776" w:rsidRPr="002107E6" w:rsidRDefault="009B5776" w:rsidP="00900E48">
      <w:pPr>
        <w:pStyle w:val="Observation"/>
        <w:numPr>
          <w:ilvl w:val="0"/>
          <w:numId w:val="18"/>
        </w:numPr>
        <w:rPr>
          <w:rFonts w:asciiTheme="majorBidi" w:hAnsiTheme="majorBidi" w:cstheme="majorBidi"/>
          <w:b w:val="0"/>
          <w:bCs w:val="0"/>
          <w:i/>
          <w:iCs/>
        </w:rPr>
      </w:pPr>
      <w:r w:rsidRPr="002107E6">
        <w:rPr>
          <w:rFonts w:asciiTheme="majorBidi" w:hAnsiTheme="majorBidi" w:cstheme="majorBidi"/>
          <w:b w:val="0"/>
          <w:bCs w:val="0"/>
          <w:i/>
          <w:iCs/>
        </w:rPr>
        <w:t>30 kHz and 60 kHz subcarrier spacing are considered for NR unlicensed @ 5 GHz and 6GHz.</w:t>
      </w:r>
    </w:p>
    <w:p w14:paraId="53E13D71" w14:textId="77777777" w:rsidR="00EE473E" w:rsidRPr="00D6394E" w:rsidRDefault="00EE473E" w:rsidP="002107E6">
      <w:pPr>
        <w:pStyle w:val="Observation"/>
        <w:numPr>
          <w:ilvl w:val="0"/>
          <w:numId w:val="0"/>
        </w:numPr>
        <w:rPr>
          <w:szCs w:val="22"/>
        </w:rPr>
      </w:pPr>
    </w:p>
    <w:p w14:paraId="4C95D052" w14:textId="3E2CBDCD" w:rsidR="00C05E72" w:rsidRDefault="00C05E72">
      <w:pPr>
        <w:pStyle w:val="Heading1"/>
        <w:keepLines/>
        <w:pBdr>
          <w:top w:val="single" w:sz="12" w:space="3" w:color="auto"/>
        </w:pBdr>
        <w:tabs>
          <w:tab w:val="num" w:pos="432"/>
        </w:tabs>
        <w:overflowPunct w:val="0"/>
        <w:autoSpaceDE w:val="0"/>
        <w:autoSpaceDN w:val="0"/>
        <w:adjustRightInd w:val="0"/>
        <w:spacing w:after="100"/>
        <w:jc w:val="both"/>
        <w:textAlignment w:val="baseline"/>
        <w:rPr>
          <w:lang w:eastAsia="ja-JP"/>
        </w:rPr>
      </w:pPr>
      <w:r>
        <w:t>Reference</w:t>
      </w:r>
      <w:r w:rsidRPr="00AA4666">
        <w:rPr>
          <w:lang w:eastAsia="ja-JP"/>
        </w:rPr>
        <w:t>s</w:t>
      </w:r>
    </w:p>
    <w:p w14:paraId="45A0683A" w14:textId="5C4719A1" w:rsidR="0024305A" w:rsidRPr="004F7515" w:rsidRDefault="0024305A" w:rsidP="00900E48">
      <w:pPr>
        <w:pStyle w:val="BodyText"/>
        <w:numPr>
          <w:ilvl w:val="0"/>
          <w:numId w:val="13"/>
        </w:numPr>
        <w:rPr>
          <w:szCs w:val="22"/>
          <w:lang w:val="en-GB" w:eastAsia="ja-JP"/>
        </w:rPr>
      </w:pPr>
      <w:bookmarkStart w:id="13" w:name="_Ref479756368"/>
      <w:bookmarkStart w:id="14" w:name="_Ref479755974"/>
      <w:r>
        <w:t>RP-170828, “</w:t>
      </w:r>
      <w:r w:rsidRPr="0024305A">
        <w:t>New SID on NR-based Access to Unlicensed Spectrum</w:t>
      </w:r>
      <w:r>
        <w:t>”, Qualcomm</w:t>
      </w:r>
      <w:bookmarkEnd w:id="13"/>
      <w:r w:rsidR="00D6394E">
        <w:t>.</w:t>
      </w:r>
    </w:p>
    <w:p w14:paraId="2EAF250F" w14:textId="38F737E0" w:rsidR="004F7515" w:rsidRPr="004F7515" w:rsidRDefault="004F7515" w:rsidP="004F7515">
      <w:pPr>
        <w:pStyle w:val="Default"/>
        <w:numPr>
          <w:ilvl w:val="0"/>
          <w:numId w:val="13"/>
        </w:numPr>
        <w:jc w:val="both"/>
        <w:rPr>
          <w:sz w:val="22"/>
          <w:szCs w:val="22"/>
          <w:lang w:val="en-US"/>
        </w:rPr>
      </w:pPr>
      <w:bookmarkStart w:id="15" w:name="_Ref480290289"/>
      <w:r w:rsidRPr="00FF2640">
        <w:rPr>
          <w:sz w:val="22"/>
          <w:szCs w:val="22"/>
          <w:lang w:val="en-US"/>
        </w:rPr>
        <w:t xml:space="preserve">Title 47, Code of Federal Regulations, Part 96 (2015), available at: </w:t>
      </w:r>
      <w:hyperlink r:id="rId13" w:history="1">
        <w:r w:rsidRPr="00FF2640">
          <w:rPr>
            <w:rStyle w:val="Hyperlink"/>
            <w:sz w:val="22"/>
            <w:szCs w:val="22"/>
            <w:lang w:val="en-US"/>
          </w:rPr>
          <w:t>http://www.ecfr.gov/cgi-bin/text-idx?node=pt47.5.96&amp;rgn=div5</w:t>
        </w:r>
      </w:hyperlink>
      <w:bookmarkEnd w:id="15"/>
    </w:p>
    <w:p w14:paraId="26B1CB7C" w14:textId="11A3638E" w:rsidR="00C05E72" w:rsidRPr="0024305A" w:rsidRDefault="0024305A" w:rsidP="00900E48">
      <w:pPr>
        <w:pStyle w:val="BodyText"/>
        <w:numPr>
          <w:ilvl w:val="0"/>
          <w:numId w:val="13"/>
        </w:numPr>
        <w:rPr>
          <w:szCs w:val="22"/>
          <w:lang w:val="en-GB" w:eastAsia="ja-JP"/>
        </w:rPr>
      </w:pPr>
      <w:bookmarkStart w:id="16" w:name="_Ref479756393"/>
      <w:r>
        <w:rPr>
          <w:szCs w:val="22"/>
        </w:rPr>
        <w:t>TR 38.912</w:t>
      </w:r>
      <w:bookmarkEnd w:id="14"/>
      <w:bookmarkEnd w:id="16"/>
      <w:r w:rsidR="00D6394E">
        <w:rPr>
          <w:szCs w:val="22"/>
        </w:rPr>
        <w:t xml:space="preserve"> v14.0.0, “Study on New Radio (NR) access technology”.</w:t>
      </w:r>
    </w:p>
    <w:p w14:paraId="79B4E147" w14:textId="208F5571" w:rsidR="00444D12" w:rsidRPr="007B7DDC" w:rsidRDefault="00FF487E" w:rsidP="00900E48">
      <w:pPr>
        <w:pStyle w:val="BodyText"/>
        <w:numPr>
          <w:ilvl w:val="0"/>
          <w:numId w:val="13"/>
        </w:numPr>
      </w:pPr>
      <w:r>
        <w:t xml:space="preserve">R1-166101, </w:t>
      </w:r>
      <w:r w:rsidR="009C4E82" w:rsidRPr="007B7DDC">
        <w:t>Comparison and evaluation on scaling factors for subcarrier spacing, Huawei</w:t>
      </w:r>
    </w:p>
    <w:p w14:paraId="20CA13B3" w14:textId="6040D208" w:rsidR="009C4E82" w:rsidRPr="00EE5DD4" w:rsidRDefault="000606B7" w:rsidP="00900E48">
      <w:pPr>
        <w:pStyle w:val="BodyText"/>
        <w:numPr>
          <w:ilvl w:val="0"/>
          <w:numId w:val="13"/>
        </w:numPr>
      </w:pPr>
      <w:r w:rsidRPr="00EE5DD4">
        <w:t xml:space="preserve">R1-163227, </w:t>
      </w:r>
      <w:r w:rsidR="004E46EE" w:rsidRPr="00EE5DD4">
        <w:t>Numerology for NR, Ericsson</w:t>
      </w:r>
    </w:p>
    <w:p w14:paraId="392AD7E1" w14:textId="77777777" w:rsidR="00FF2640" w:rsidRPr="00FF2640" w:rsidRDefault="00FF2640" w:rsidP="00EE5DD4">
      <w:pPr>
        <w:pStyle w:val="Default"/>
        <w:ind w:left="360"/>
        <w:jc w:val="both"/>
        <w:rPr>
          <w:sz w:val="22"/>
          <w:szCs w:val="22"/>
          <w:lang w:val="en-US"/>
        </w:rPr>
      </w:pPr>
    </w:p>
    <w:sectPr w:rsidR="00FF2640" w:rsidRPr="00FF2640">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1F3BD8" w14:textId="77777777" w:rsidR="005A71B0" w:rsidRDefault="005A71B0">
      <w:r>
        <w:separator/>
      </w:r>
    </w:p>
  </w:endnote>
  <w:endnote w:type="continuationSeparator" w:id="0">
    <w:p w14:paraId="1D739F20" w14:textId="77777777" w:rsidR="005A71B0" w:rsidRDefault="005A71B0">
      <w:r>
        <w:continuationSeparator/>
      </w:r>
    </w:p>
  </w:endnote>
  <w:endnote w:type="continuationNotice" w:id="1">
    <w:p w14:paraId="29D4CA10" w14:textId="77777777" w:rsidR="005A71B0" w:rsidRDefault="005A71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B5098" w14:textId="47694931" w:rsidR="00072730" w:rsidRDefault="00072730" w:rsidP="002C44FE">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7315CE">
      <w:rPr>
        <w:rStyle w:val="PageNumber"/>
        <w:noProof/>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315CE">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8114FE" w14:textId="77777777" w:rsidR="005A71B0" w:rsidRDefault="005A71B0">
      <w:r>
        <w:separator/>
      </w:r>
    </w:p>
  </w:footnote>
  <w:footnote w:type="continuationSeparator" w:id="0">
    <w:p w14:paraId="7B6BEB96" w14:textId="77777777" w:rsidR="005A71B0" w:rsidRDefault="005A71B0">
      <w:r>
        <w:continuationSeparator/>
      </w:r>
    </w:p>
  </w:footnote>
  <w:footnote w:type="continuationNotice" w:id="1">
    <w:p w14:paraId="212B3866" w14:textId="77777777" w:rsidR="005A71B0" w:rsidRDefault="005A71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91B3B" w14:textId="77777777" w:rsidR="00072730" w:rsidRDefault="000727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w:t>
    </w:r>
    <w:proofErr w:type="spellStart"/>
    <w:r>
      <w:t>YYYY</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D46B27"/>
    <w:multiLevelType w:val="hybridMultilevel"/>
    <w:tmpl w:val="1D1A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2" w15:restartNumberingAfterBreak="0">
    <w:nsid w:val="21F2774A"/>
    <w:multiLevelType w:val="hybridMultilevel"/>
    <w:tmpl w:val="35289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6CF0F43"/>
    <w:multiLevelType w:val="hybridMultilevel"/>
    <w:tmpl w:val="DEC83EF2"/>
    <w:lvl w:ilvl="0" w:tplc="0409000F">
      <w:start w:val="1"/>
      <w:numFmt w:val="decimal"/>
      <w:lvlText w:val="%1."/>
      <w:lvlJc w:val="left"/>
      <w:pPr>
        <w:ind w:left="3272" w:hanging="360"/>
      </w:pPr>
      <w:rPr>
        <w:rFonts w:hint="default"/>
      </w:rPr>
    </w:lvl>
    <w:lvl w:ilvl="1" w:tplc="04090019" w:tentative="1">
      <w:start w:val="1"/>
      <w:numFmt w:val="lowerLetter"/>
      <w:lvlText w:val="%2."/>
      <w:lvlJc w:val="left"/>
      <w:pPr>
        <w:ind w:left="3992" w:hanging="360"/>
      </w:pPr>
    </w:lvl>
    <w:lvl w:ilvl="2" w:tplc="0409001B" w:tentative="1">
      <w:start w:val="1"/>
      <w:numFmt w:val="lowerRoman"/>
      <w:lvlText w:val="%3."/>
      <w:lvlJc w:val="right"/>
      <w:pPr>
        <w:ind w:left="4712" w:hanging="180"/>
      </w:pPr>
    </w:lvl>
    <w:lvl w:ilvl="3" w:tplc="0409000F" w:tentative="1">
      <w:start w:val="1"/>
      <w:numFmt w:val="decimal"/>
      <w:lvlText w:val="%4."/>
      <w:lvlJc w:val="left"/>
      <w:pPr>
        <w:ind w:left="5432" w:hanging="360"/>
      </w:pPr>
    </w:lvl>
    <w:lvl w:ilvl="4" w:tplc="04090019" w:tentative="1">
      <w:start w:val="1"/>
      <w:numFmt w:val="lowerLetter"/>
      <w:lvlText w:val="%5."/>
      <w:lvlJc w:val="left"/>
      <w:pPr>
        <w:ind w:left="6152" w:hanging="360"/>
      </w:pPr>
    </w:lvl>
    <w:lvl w:ilvl="5" w:tplc="0409001B" w:tentative="1">
      <w:start w:val="1"/>
      <w:numFmt w:val="lowerRoman"/>
      <w:lvlText w:val="%6."/>
      <w:lvlJc w:val="right"/>
      <w:pPr>
        <w:ind w:left="6872" w:hanging="180"/>
      </w:pPr>
    </w:lvl>
    <w:lvl w:ilvl="6" w:tplc="0409000F" w:tentative="1">
      <w:start w:val="1"/>
      <w:numFmt w:val="decimal"/>
      <w:lvlText w:val="%7."/>
      <w:lvlJc w:val="left"/>
      <w:pPr>
        <w:ind w:left="7592" w:hanging="360"/>
      </w:pPr>
    </w:lvl>
    <w:lvl w:ilvl="7" w:tplc="04090019" w:tentative="1">
      <w:start w:val="1"/>
      <w:numFmt w:val="lowerLetter"/>
      <w:lvlText w:val="%8."/>
      <w:lvlJc w:val="left"/>
      <w:pPr>
        <w:ind w:left="8312" w:hanging="360"/>
      </w:pPr>
    </w:lvl>
    <w:lvl w:ilvl="8" w:tplc="0409001B" w:tentative="1">
      <w:start w:val="1"/>
      <w:numFmt w:val="lowerRoman"/>
      <w:lvlText w:val="%9."/>
      <w:lvlJc w:val="right"/>
      <w:pPr>
        <w:ind w:left="9032" w:hanging="180"/>
      </w:pPr>
    </w:lvl>
  </w:abstractNum>
  <w:abstractNum w:abstractNumId="4"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8F547C"/>
    <w:multiLevelType w:val="hybridMultilevel"/>
    <w:tmpl w:val="CC56A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3ED60D20"/>
    <w:lvl w:ilvl="0" w:tplc="D83E4AC6">
      <w:start w:val="1"/>
      <w:numFmt w:val="decimal"/>
      <w:pStyle w:val="Observation"/>
      <w:lvlText w:val="Observation %1"/>
      <w:lvlJc w:val="left"/>
      <w:pPr>
        <w:ind w:left="360" w:hanging="360"/>
      </w:pPr>
      <w:rPr>
        <w:rFonts w:hint="default"/>
      </w:rPr>
    </w:lvl>
    <w:lvl w:ilvl="1" w:tplc="04090001">
      <w:start w:val="1"/>
      <w:numFmt w:val="bullet"/>
      <w:lvlText w:val=""/>
      <w:lvlJc w:val="left"/>
      <w:pPr>
        <w:ind w:left="63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CD3808"/>
    <w:multiLevelType w:val="hybridMultilevel"/>
    <w:tmpl w:val="BC209E38"/>
    <w:lvl w:ilvl="0" w:tplc="5D2856F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10"/>
  </w:num>
  <w:num w:numId="2">
    <w:abstractNumId w:val="19"/>
  </w:num>
  <w:num w:numId="3">
    <w:abstractNumId w:val="7"/>
  </w:num>
  <w:num w:numId="4">
    <w:abstractNumId w:val="1"/>
  </w:num>
  <w:num w:numId="5">
    <w:abstractNumId w:val="20"/>
  </w:num>
  <w:num w:numId="6">
    <w:abstractNumId w:val="16"/>
  </w:num>
  <w:num w:numId="7">
    <w:abstractNumId w:val="15"/>
  </w:num>
  <w:num w:numId="8">
    <w:abstractNumId w:val="17"/>
  </w:num>
  <w:num w:numId="9">
    <w:abstractNumId w:val="8"/>
  </w:num>
  <w:num w:numId="10">
    <w:abstractNumId w:val="6"/>
  </w:num>
  <w:num w:numId="11">
    <w:abstractNumId w:val="12"/>
  </w:num>
  <w:num w:numId="12">
    <w:abstractNumId w:val="9"/>
  </w:num>
  <w:num w:numId="13">
    <w:abstractNumId w:val="13"/>
  </w:num>
  <w:num w:numId="14">
    <w:abstractNumId w:val="14"/>
  </w:num>
  <w:num w:numId="15">
    <w:abstractNumId w:val="4"/>
  </w:num>
  <w:num w:numId="16">
    <w:abstractNumId w:val="11"/>
  </w:num>
  <w:num w:numId="17">
    <w:abstractNumId w:val="3"/>
  </w:num>
  <w:num w:numId="18">
    <w:abstractNumId w:val="0"/>
  </w:num>
  <w:num w:numId="19">
    <w:abstractNumId w:val="18"/>
  </w:num>
  <w:num w:numId="20">
    <w:abstractNumId w:val="2"/>
  </w:num>
  <w:num w:numId="21">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706"/>
    <w:rsid w:val="00004C58"/>
    <w:rsid w:val="000050D4"/>
    <w:rsid w:val="00005363"/>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18"/>
    <w:rsid w:val="00032BB2"/>
    <w:rsid w:val="0003317E"/>
    <w:rsid w:val="00033487"/>
    <w:rsid w:val="000336C1"/>
    <w:rsid w:val="00033B5E"/>
    <w:rsid w:val="00034431"/>
    <w:rsid w:val="00034458"/>
    <w:rsid w:val="00034C5F"/>
    <w:rsid w:val="00034DA5"/>
    <w:rsid w:val="000351B3"/>
    <w:rsid w:val="00036AD6"/>
    <w:rsid w:val="00036E68"/>
    <w:rsid w:val="000370D0"/>
    <w:rsid w:val="000370DA"/>
    <w:rsid w:val="0003717C"/>
    <w:rsid w:val="000372AB"/>
    <w:rsid w:val="00037452"/>
    <w:rsid w:val="00037A33"/>
    <w:rsid w:val="00037E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140"/>
    <w:rsid w:val="000504A4"/>
    <w:rsid w:val="000506B0"/>
    <w:rsid w:val="0005082E"/>
    <w:rsid w:val="00050E99"/>
    <w:rsid w:val="00050EF8"/>
    <w:rsid w:val="00051AA4"/>
    <w:rsid w:val="000524E1"/>
    <w:rsid w:val="00052811"/>
    <w:rsid w:val="00052917"/>
    <w:rsid w:val="00052C78"/>
    <w:rsid w:val="00053615"/>
    <w:rsid w:val="00054343"/>
    <w:rsid w:val="00054B29"/>
    <w:rsid w:val="000551D6"/>
    <w:rsid w:val="000555D9"/>
    <w:rsid w:val="000557F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6B7"/>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0C1"/>
    <w:rsid w:val="0006750C"/>
    <w:rsid w:val="00067A4F"/>
    <w:rsid w:val="0007036A"/>
    <w:rsid w:val="0007049C"/>
    <w:rsid w:val="00070536"/>
    <w:rsid w:val="000708BC"/>
    <w:rsid w:val="00071C17"/>
    <w:rsid w:val="00071E07"/>
    <w:rsid w:val="00072636"/>
    <w:rsid w:val="0007268E"/>
    <w:rsid w:val="00072730"/>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97A"/>
    <w:rsid w:val="00082B6D"/>
    <w:rsid w:val="00082FF3"/>
    <w:rsid w:val="0008398C"/>
    <w:rsid w:val="00083A20"/>
    <w:rsid w:val="00083E63"/>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325"/>
    <w:rsid w:val="000A18DE"/>
    <w:rsid w:val="000A1B26"/>
    <w:rsid w:val="000A308E"/>
    <w:rsid w:val="000A34BE"/>
    <w:rsid w:val="000A378F"/>
    <w:rsid w:val="000A398B"/>
    <w:rsid w:val="000A3AC9"/>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EA5"/>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04"/>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D7D0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77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3"/>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4F86"/>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1FDE"/>
    <w:rsid w:val="001425F2"/>
    <w:rsid w:val="00142BDF"/>
    <w:rsid w:val="001440DA"/>
    <w:rsid w:val="0014476B"/>
    <w:rsid w:val="00144851"/>
    <w:rsid w:val="00144A35"/>
    <w:rsid w:val="00144DF7"/>
    <w:rsid w:val="0014569F"/>
    <w:rsid w:val="001458CC"/>
    <w:rsid w:val="001466AC"/>
    <w:rsid w:val="00146E73"/>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56C7D"/>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1A7A"/>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17"/>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7A1"/>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6DD"/>
    <w:rsid w:val="001A6CC9"/>
    <w:rsid w:val="001A72F3"/>
    <w:rsid w:val="001A7510"/>
    <w:rsid w:val="001A7623"/>
    <w:rsid w:val="001A79E2"/>
    <w:rsid w:val="001A7B4B"/>
    <w:rsid w:val="001B0343"/>
    <w:rsid w:val="001B0A9F"/>
    <w:rsid w:val="001B0AE2"/>
    <w:rsid w:val="001B12FE"/>
    <w:rsid w:val="001B132F"/>
    <w:rsid w:val="001B1446"/>
    <w:rsid w:val="001B171C"/>
    <w:rsid w:val="001B1A24"/>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6DF"/>
    <w:rsid w:val="001B7E14"/>
    <w:rsid w:val="001C036A"/>
    <w:rsid w:val="001C03F1"/>
    <w:rsid w:val="001C0439"/>
    <w:rsid w:val="001C0898"/>
    <w:rsid w:val="001C1219"/>
    <w:rsid w:val="001C1360"/>
    <w:rsid w:val="001C1A0D"/>
    <w:rsid w:val="001C2184"/>
    <w:rsid w:val="001C2BC6"/>
    <w:rsid w:val="001C2FD0"/>
    <w:rsid w:val="001C318A"/>
    <w:rsid w:val="001C3892"/>
    <w:rsid w:val="001C3F20"/>
    <w:rsid w:val="001C54AE"/>
    <w:rsid w:val="001C57EF"/>
    <w:rsid w:val="001C5C6A"/>
    <w:rsid w:val="001C6197"/>
    <w:rsid w:val="001C651D"/>
    <w:rsid w:val="001C6A92"/>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9C0"/>
    <w:rsid w:val="001E1B51"/>
    <w:rsid w:val="001E1C44"/>
    <w:rsid w:val="001E207C"/>
    <w:rsid w:val="001E216A"/>
    <w:rsid w:val="001E23E1"/>
    <w:rsid w:val="001E37A0"/>
    <w:rsid w:val="001E3C3D"/>
    <w:rsid w:val="001E3D22"/>
    <w:rsid w:val="001E3FA8"/>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175"/>
    <w:rsid w:val="001F5588"/>
    <w:rsid w:val="001F593C"/>
    <w:rsid w:val="001F5B8F"/>
    <w:rsid w:val="001F6AAA"/>
    <w:rsid w:val="001F6DEF"/>
    <w:rsid w:val="001F713F"/>
    <w:rsid w:val="001F7141"/>
    <w:rsid w:val="001F71D4"/>
    <w:rsid w:val="001F78A1"/>
    <w:rsid w:val="001F7E7D"/>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B18"/>
    <w:rsid w:val="00205CA3"/>
    <w:rsid w:val="00205D96"/>
    <w:rsid w:val="002061CF"/>
    <w:rsid w:val="0020691B"/>
    <w:rsid w:val="00206E31"/>
    <w:rsid w:val="00207807"/>
    <w:rsid w:val="002103D2"/>
    <w:rsid w:val="0021041C"/>
    <w:rsid w:val="002105D4"/>
    <w:rsid w:val="002107E6"/>
    <w:rsid w:val="00210865"/>
    <w:rsid w:val="00210A43"/>
    <w:rsid w:val="00210B5F"/>
    <w:rsid w:val="00210D58"/>
    <w:rsid w:val="00210DF0"/>
    <w:rsid w:val="00211132"/>
    <w:rsid w:val="0021127F"/>
    <w:rsid w:val="00211621"/>
    <w:rsid w:val="002118D4"/>
    <w:rsid w:val="00211983"/>
    <w:rsid w:val="00211BC5"/>
    <w:rsid w:val="0021237D"/>
    <w:rsid w:val="00212BE7"/>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270"/>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407"/>
    <w:rsid w:val="00235B4A"/>
    <w:rsid w:val="00237035"/>
    <w:rsid w:val="00237E3C"/>
    <w:rsid w:val="00237F23"/>
    <w:rsid w:val="002400FA"/>
    <w:rsid w:val="00240154"/>
    <w:rsid w:val="00240FD0"/>
    <w:rsid w:val="0024166C"/>
    <w:rsid w:val="002418F8"/>
    <w:rsid w:val="0024209B"/>
    <w:rsid w:val="0024305A"/>
    <w:rsid w:val="00243667"/>
    <w:rsid w:val="002444B0"/>
    <w:rsid w:val="00244757"/>
    <w:rsid w:val="00244DEC"/>
    <w:rsid w:val="002450CD"/>
    <w:rsid w:val="002452AD"/>
    <w:rsid w:val="00245324"/>
    <w:rsid w:val="00245800"/>
    <w:rsid w:val="00245AB5"/>
    <w:rsid w:val="00245AD3"/>
    <w:rsid w:val="00245D93"/>
    <w:rsid w:val="00245F88"/>
    <w:rsid w:val="00247888"/>
    <w:rsid w:val="00247B97"/>
    <w:rsid w:val="00247BAE"/>
    <w:rsid w:val="00250846"/>
    <w:rsid w:val="00251171"/>
    <w:rsid w:val="0025263E"/>
    <w:rsid w:val="00252700"/>
    <w:rsid w:val="00252B74"/>
    <w:rsid w:val="00252D0A"/>
    <w:rsid w:val="00252D53"/>
    <w:rsid w:val="002534AC"/>
    <w:rsid w:val="00253CB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37C"/>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60F"/>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7AA"/>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3AB7"/>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53"/>
    <w:rsid w:val="002C1FFA"/>
    <w:rsid w:val="002C20E1"/>
    <w:rsid w:val="002C282C"/>
    <w:rsid w:val="002C2C16"/>
    <w:rsid w:val="002C2F3A"/>
    <w:rsid w:val="002C351B"/>
    <w:rsid w:val="002C36C2"/>
    <w:rsid w:val="002C38FC"/>
    <w:rsid w:val="002C3A55"/>
    <w:rsid w:val="002C41E7"/>
    <w:rsid w:val="002C44FE"/>
    <w:rsid w:val="002C46A4"/>
    <w:rsid w:val="002C500E"/>
    <w:rsid w:val="002C502D"/>
    <w:rsid w:val="002C5765"/>
    <w:rsid w:val="002C64AD"/>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2F0C"/>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7D1"/>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836"/>
    <w:rsid w:val="0031197D"/>
    <w:rsid w:val="00311B1D"/>
    <w:rsid w:val="00311EE0"/>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17FEB"/>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03D"/>
    <w:rsid w:val="0033685A"/>
    <w:rsid w:val="003368ED"/>
    <w:rsid w:val="0033697D"/>
    <w:rsid w:val="00336C8B"/>
    <w:rsid w:val="00336EFD"/>
    <w:rsid w:val="00336F46"/>
    <w:rsid w:val="00337264"/>
    <w:rsid w:val="00337DC0"/>
    <w:rsid w:val="00337FDA"/>
    <w:rsid w:val="003400F9"/>
    <w:rsid w:val="00341E58"/>
    <w:rsid w:val="00342000"/>
    <w:rsid w:val="0034259C"/>
    <w:rsid w:val="00342623"/>
    <w:rsid w:val="0034290D"/>
    <w:rsid w:val="00342C3F"/>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57F26"/>
    <w:rsid w:val="003601A9"/>
    <w:rsid w:val="003607EF"/>
    <w:rsid w:val="00360BFD"/>
    <w:rsid w:val="0036116E"/>
    <w:rsid w:val="003617AA"/>
    <w:rsid w:val="00361A43"/>
    <w:rsid w:val="003629DC"/>
    <w:rsid w:val="003629F3"/>
    <w:rsid w:val="00363492"/>
    <w:rsid w:val="00364648"/>
    <w:rsid w:val="00365499"/>
    <w:rsid w:val="00365ACB"/>
    <w:rsid w:val="00365BEF"/>
    <w:rsid w:val="00366273"/>
    <w:rsid w:val="0036664E"/>
    <w:rsid w:val="0036670C"/>
    <w:rsid w:val="00366DB5"/>
    <w:rsid w:val="0036712C"/>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297"/>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A7FBC"/>
    <w:rsid w:val="003B02C3"/>
    <w:rsid w:val="003B03F8"/>
    <w:rsid w:val="003B0A55"/>
    <w:rsid w:val="003B1223"/>
    <w:rsid w:val="003B1547"/>
    <w:rsid w:val="003B198B"/>
    <w:rsid w:val="003B1A53"/>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3E3A"/>
    <w:rsid w:val="003C414B"/>
    <w:rsid w:val="003C474E"/>
    <w:rsid w:val="003C4945"/>
    <w:rsid w:val="003C4C56"/>
    <w:rsid w:val="003C51E4"/>
    <w:rsid w:val="003C5A75"/>
    <w:rsid w:val="003C5B0E"/>
    <w:rsid w:val="003C6C00"/>
    <w:rsid w:val="003C6E3D"/>
    <w:rsid w:val="003C6EC7"/>
    <w:rsid w:val="003C748D"/>
    <w:rsid w:val="003C7640"/>
    <w:rsid w:val="003C7B67"/>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ADB"/>
    <w:rsid w:val="003D4B2C"/>
    <w:rsid w:val="003D51EC"/>
    <w:rsid w:val="003D53F6"/>
    <w:rsid w:val="003D5538"/>
    <w:rsid w:val="003D57AB"/>
    <w:rsid w:val="003D5995"/>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349"/>
    <w:rsid w:val="003E5586"/>
    <w:rsid w:val="003E5F84"/>
    <w:rsid w:val="003E60E2"/>
    <w:rsid w:val="003E6248"/>
    <w:rsid w:val="003E6497"/>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304A"/>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5EB6"/>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4DB8"/>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A1D"/>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C3E"/>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4D1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1F97"/>
    <w:rsid w:val="00462295"/>
    <w:rsid w:val="00462363"/>
    <w:rsid w:val="00462417"/>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17F"/>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1B00"/>
    <w:rsid w:val="00482573"/>
    <w:rsid w:val="0048321D"/>
    <w:rsid w:val="00483A7B"/>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49C"/>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4D0"/>
    <w:rsid w:val="004A79D5"/>
    <w:rsid w:val="004B02AF"/>
    <w:rsid w:val="004B095C"/>
    <w:rsid w:val="004B0D25"/>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787"/>
    <w:rsid w:val="004B7A8B"/>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6EE"/>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78C"/>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4F7515"/>
    <w:rsid w:val="005002EF"/>
    <w:rsid w:val="0050031D"/>
    <w:rsid w:val="00500853"/>
    <w:rsid w:val="00500A67"/>
    <w:rsid w:val="00502CE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3B7D"/>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C7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492"/>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7C2"/>
    <w:rsid w:val="00565B3C"/>
    <w:rsid w:val="00565D6F"/>
    <w:rsid w:val="00565E83"/>
    <w:rsid w:val="0056673B"/>
    <w:rsid w:val="0056676F"/>
    <w:rsid w:val="00566CEB"/>
    <w:rsid w:val="00566E14"/>
    <w:rsid w:val="00566F3E"/>
    <w:rsid w:val="005671DC"/>
    <w:rsid w:val="005672D9"/>
    <w:rsid w:val="0056733B"/>
    <w:rsid w:val="00570101"/>
    <w:rsid w:val="00570481"/>
    <w:rsid w:val="005707BF"/>
    <w:rsid w:val="005708F8"/>
    <w:rsid w:val="00570FB3"/>
    <w:rsid w:val="00571229"/>
    <w:rsid w:val="00571F8A"/>
    <w:rsid w:val="005726A3"/>
    <w:rsid w:val="00572971"/>
    <w:rsid w:val="00572A0A"/>
    <w:rsid w:val="00573244"/>
    <w:rsid w:val="00573472"/>
    <w:rsid w:val="00573717"/>
    <w:rsid w:val="005737C8"/>
    <w:rsid w:val="00573A6C"/>
    <w:rsid w:val="005744B0"/>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9BD"/>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E39"/>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1B0"/>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22E4"/>
    <w:rsid w:val="005D300B"/>
    <w:rsid w:val="005D304E"/>
    <w:rsid w:val="005D3698"/>
    <w:rsid w:val="005D3EBF"/>
    <w:rsid w:val="005D40D7"/>
    <w:rsid w:val="005D40F7"/>
    <w:rsid w:val="005D453E"/>
    <w:rsid w:val="005D49C8"/>
    <w:rsid w:val="005D49DB"/>
    <w:rsid w:val="005D5003"/>
    <w:rsid w:val="005D5DCE"/>
    <w:rsid w:val="005D60E0"/>
    <w:rsid w:val="005D6EAA"/>
    <w:rsid w:val="005D77DA"/>
    <w:rsid w:val="005D7B26"/>
    <w:rsid w:val="005D7EA8"/>
    <w:rsid w:val="005E0000"/>
    <w:rsid w:val="005E00F5"/>
    <w:rsid w:val="005E08B7"/>
    <w:rsid w:val="005E0F5D"/>
    <w:rsid w:val="005E196D"/>
    <w:rsid w:val="005E1E60"/>
    <w:rsid w:val="005E20FD"/>
    <w:rsid w:val="005E2536"/>
    <w:rsid w:val="005E2A6E"/>
    <w:rsid w:val="005E2FC1"/>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4DE"/>
    <w:rsid w:val="005F1CBA"/>
    <w:rsid w:val="005F21D2"/>
    <w:rsid w:val="005F24F8"/>
    <w:rsid w:val="005F29A6"/>
    <w:rsid w:val="005F29E4"/>
    <w:rsid w:val="005F2A40"/>
    <w:rsid w:val="005F2F22"/>
    <w:rsid w:val="005F3EE4"/>
    <w:rsid w:val="005F448F"/>
    <w:rsid w:val="005F4662"/>
    <w:rsid w:val="005F4A2C"/>
    <w:rsid w:val="005F5485"/>
    <w:rsid w:val="005F617C"/>
    <w:rsid w:val="005F6263"/>
    <w:rsid w:val="005F665D"/>
    <w:rsid w:val="005F6C76"/>
    <w:rsid w:val="005F73FB"/>
    <w:rsid w:val="005F78E3"/>
    <w:rsid w:val="00600515"/>
    <w:rsid w:val="00600AB7"/>
    <w:rsid w:val="00600FC1"/>
    <w:rsid w:val="00601389"/>
    <w:rsid w:val="00601D69"/>
    <w:rsid w:val="0060200E"/>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A69"/>
    <w:rsid w:val="00620F81"/>
    <w:rsid w:val="00621A62"/>
    <w:rsid w:val="00621BD3"/>
    <w:rsid w:val="00621FFF"/>
    <w:rsid w:val="00622254"/>
    <w:rsid w:val="0062237D"/>
    <w:rsid w:val="00623BC8"/>
    <w:rsid w:val="00623CD4"/>
    <w:rsid w:val="00623F8C"/>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3F5"/>
    <w:rsid w:val="00635454"/>
    <w:rsid w:val="0063620A"/>
    <w:rsid w:val="006365C8"/>
    <w:rsid w:val="006369B1"/>
    <w:rsid w:val="00636D80"/>
    <w:rsid w:val="006373E0"/>
    <w:rsid w:val="0063745B"/>
    <w:rsid w:val="00637768"/>
    <w:rsid w:val="006377D0"/>
    <w:rsid w:val="00637B75"/>
    <w:rsid w:val="00637CB7"/>
    <w:rsid w:val="00637E9D"/>
    <w:rsid w:val="00637EAF"/>
    <w:rsid w:val="006400F3"/>
    <w:rsid w:val="006404C9"/>
    <w:rsid w:val="0064058C"/>
    <w:rsid w:val="00640D36"/>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12D"/>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3A9"/>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7EA"/>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022"/>
    <w:rsid w:val="006A6333"/>
    <w:rsid w:val="006A657D"/>
    <w:rsid w:val="006A6642"/>
    <w:rsid w:val="006A72D5"/>
    <w:rsid w:val="006A7429"/>
    <w:rsid w:val="006A7B43"/>
    <w:rsid w:val="006A7F50"/>
    <w:rsid w:val="006B0A09"/>
    <w:rsid w:val="006B0ACF"/>
    <w:rsid w:val="006B0DDD"/>
    <w:rsid w:val="006B122E"/>
    <w:rsid w:val="006B13E4"/>
    <w:rsid w:val="006B1D68"/>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64F4"/>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129"/>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2FD"/>
    <w:rsid w:val="00704660"/>
    <w:rsid w:val="007048C6"/>
    <w:rsid w:val="00704BB7"/>
    <w:rsid w:val="00704D0A"/>
    <w:rsid w:val="00705168"/>
    <w:rsid w:val="007053C0"/>
    <w:rsid w:val="0070583A"/>
    <w:rsid w:val="00705875"/>
    <w:rsid w:val="007059FE"/>
    <w:rsid w:val="00705A14"/>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2EE7"/>
    <w:rsid w:val="00713803"/>
    <w:rsid w:val="00713AF6"/>
    <w:rsid w:val="00713B2F"/>
    <w:rsid w:val="00714878"/>
    <w:rsid w:val="00714916"/>
    <w:rsid w:val="00714D7B"/>
    <w:rsid w:val="0071500B"/>
    <w:rsid w:val="007157D4"/>
    <w:rsid w:val="00715C8A"/>
    <w:rsid w:val="0071635C"/>
    <w:rsid w:val="00716995"/>
    <w:rsid w:val="0071739E"/>
    <w:rsid w:val="0071750E"/>
    <w:rsid w:val="00717C7A"/>
    <w:rsid w:val="00717CD7"/>
    <w:rsid w:val="00717D36"/>
    <w:rsid w:val="00717D5B"/>
    <w:rsid w:val="00717F64"/>
    <w:rsid w:val="00720F31"/>
    <w:rsid w:val="0072108B"/>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6A2B"/>
    <w:rsid w:val="00727245"/>
    <w:rsid w:val="00727596"/>
    <w:rsid w:val="00727786"/>
    <w:rsid w:val="007279A8"/>
    <w:rsid w:val="00730005"/>
    <w:rsid w:val="007300A2"/>
    <w:rsid w:val="007302A6"/>
    <w:rsid w:val="00730B04"/>
    <w:rsid w:val="00730B56"/>
    <w:rsid w:val="00730C35"/>
    <w:rsid w:val="00730CCC"/>
    <w:rsid w:val="007315CE"/>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4BE2"/>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E23"/>
    <w:rsid w:val="00755F3A"/>
    <w:rsid w:val="00757293"/>
    <w:rsid w:val="00757326"/>
    <w:rsid w:val="007576BE"/>
    <w:rsid w:val="00757994"/>
    <w:rsid w:val="00757D79"/>
    <w:rsid w:val="00757DD9"/>
    <w:rsid w:val="00757E15"/>
    <w:rsid w:val="00757F41"/>
    <w:rsid w:val="00757F7C"/>
    <w:rsid w:val="00757FE3"/>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D52"/>
    <w:rsid w:val="00776EF9"/>
    <w:rsid w:val="007771B0"/>
    <w:rsid w:val="00777725"/>
    <w:rsid w:val="00777E65"/>
    <w:rsid w:val="00777EB2"/>
    <w:rsid w:val="007800B0"/>
    <w:rsid w:val="00780179"/>
    <w:rsid w:val="00780B4D"/>
    <w:rsid w:val="00780C2B"/>
    <w:rsid w:val="00780D37"/>
    <w:rsid w:val="00780DCB"/>
    <w:rsid w:val="00781396"/>
    <w:rsid w:val="00781670"/>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2C71"/>
    <w:rsid w:val="007A3430"/>
    <w:rsid w:val="007A3731"/>
    <w:rsid w:val="007A383E"/>
    <w:rsid w:val="007A3B17"/>
    <w:rsid w:val="007A3E93"/>
    <w:rsid w:val="007A4DB9"/>
    <w:rsid w:val="007A59C1"/>
    <w:rsid w:val="007A613C"/>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1DB3"/>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B7DDC"/>
    <w:rsid w:val="007C0083"/>
    <w:rsid w:val="007C0139"/>
    <w:rsid w:val="007C0529"/>
    <w:rsid w:val="007C07D7"/>
    <w:rsid w:val="007C081D"/>
    <w:rsid w:val="007C0C4A"/>
    <w:rsid w:val="007C0DFF"/>
    <w:rsid w:val="007C1269"/>
    <w:rsid w:val="007C1400"/>
    <w:rsid w:val="007C1A95"/>
    <w:rsid w:val="007C1CC3"/>
    <w:rsid w:val="007C2DA6"/>
    <w:rsid w:val="007C3003"/>
    <w:rsid w:val="007C308D"/>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63"/>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3F4"/>
    <w:rsid w:val="007F16D4"/>
    <w:rsid w:val="007F173B"/>
    <w:rsid w:val="007F2286"/>
    <w:rsid w:val="007F274C"/>
    <w:rsid w:val="007F278E"/>
    <w:rsid w:val="007F2DD8"/>
    <w:rsid w:val="007F32D1"/>
    <w:rsid w:val="007F3AA2"/>
    <w:rsid w:val="007F3E27"/>
    <w:rsid w:val="007F40D2"/>
    <w:rsid w:val="007F4345"/>
    <w:rsid w:val="007F4A03"/>
    <w:rsid w:val="007F4A0E"/>
    <w:rsid w:val="007F537A"/>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82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485"/>
    <w:rsid w:val="0081597A"/>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5AB1"/>
    <w:rsid w:val="008260E5"/>
    <w:rsid w:val="008262BA"/>
    <w:rsid w:val="008266E8"/>
    <w:rsid w:val="008269A1"/>
    <w:rsid w:val="00826F1D"/>
    <w:rsid w:val="00826F70"/>
    <w:rsid w:val="008270F4"/>
    <w:rsid w:val="008278F5"/>
    <w:rsid w:val="00827A3B"/>
    <w:rsid w:val="00827FC7"/>
    <w:rsid w:val="00827FF3"/>
    <w:rsid w:val="008300F9"/>
    <w:rsid w:val="008305F3"/>
    <w:rsid w:val="00830677"/>
    <w:rsid w:val="00830774"/>
    <w:rsid w:val="00830FB9"/>
    <w:rsid w:val="0083152A"/>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89"/>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0A4E"/>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56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1F8"/>
    <w:rsid w:val="008F2C3F"/>
    <w:rsid w:val="008F31A9"/>
    <w:rsid w:val="008F39DA"/>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E48"/>
    <w:rsid w:val="00900F64"/>
    <w:rsid w:val="00901623"/>
    <w:rsid w:val="00901746"/>
    <w:rsid w:val="00901FB4"/>
    <w:rsid w:val="0090201B"/>
    <w:rsid w:val="0090292E"/>
    <w:rsid w:val="00902B72"/>
    <w:rsid w:val="00902CEE"/>
    <w:rsid w:val="00902FE6"/>
    <w:rsid w:val="009031E1"/>
    <w:rsid w:val="009031FC"/>
    <w:rsid w:val="009033DF"/>
    <w:rsid w:val="009036B3"/>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5C8"/>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844"/>
    <w:rsid w:val="00943DEF"/>
    <w:rsid w:val="00943ECF"/>
    <w:rsid w:val="0094446A"/>
    <w:rsid w:val="00944690"/>
    <w:rsid w:val="0094491A"/>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9EE"/>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661"/>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3EAD"/>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9EB"/>
    <w:rsid w:val="00991BCA"/>
    <w:rsid w:val="009923BE"/>
    <w:rsid w:val="00992EB4"/>
    <w:rsid w:val="009932D4"/>
    <w:rsid w:val="009939EB"/>
    <w:rsid w:val="00993A15"/>
    <w:rsid w:val="00993A47"/>
    <w:rsid w:val="009941C6"/>
    <w:rsid w:val="009943AE"/>
    <w:rsid w:val="0099490F"/>
    <w:rsid w:val="009959F2"/>
    <w:rsid w:val="00995FEE"/>
    <w:rsid w:val="009968D9"/>
    <w:rsid w:val="00996BD1"/>
    <w:rsid w:val="00996BE3"/>
    <w:rsid w:val="009975B5"/>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05B"/>
    <w:rsid w:val="009A7419"/>
    <w:rsid w:val="009A7555"/>
    <w:rsid w:val="009A75CD"/>
    <w:rsid w:val="009A7B93"/>
    <w:rsid w:val="009A7E81"/>
    <w:rsid w:val="009B0307"/>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49A7"/>
    <w:rsid w:val="009B50AD"/>
    <w:rsid w:val="009B5776"/>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50"/>
    <w:rsid w:val="009C38FB"/>
    <w:rsid w:val="009C39C0"/>
    <w:rsid w:val="009C3B50"/>
    <w:rsid w:val="009C3C8F"/>
    <w:rsid w:val="009C3CEA"/>
    <w:rsid w:val="009C40AB"/>
    <w:rsid w:val="009C45C5"/>
    <w:rsid w:val="009C4972"/>
    <w:rsid w:val="009C4C29"/>
    <w:rsid w:val="009C4E12"/>
    <w:rsid w:val="009C4E8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5B3"/>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B21"/>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9F6B4E"/>
    <w:rsid w:val="009F7BA6"/>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0F4"/>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1E96"/>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5D1"/>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77DC9"/>
    <w:rsid w:val="00A805A2"/>
    <w:rsid w:val="00A814DD"/>
    <w:rsid w:val="00A815E5"/>
    <w:rsid w:val="00A817BA"/>
    <w:rsid w:val="00A81A25"/>
    <w:rsid w:val="00A81D2F"/>
    <w:rsid w:val="00A81FFD"/>
    <w:rsid w:val="00A82097"/>
    <w:rsid w:val="00A82429"/>
    <w:rsid w:val="00A82568"/>
    <w:rsid w:val="00A825DA"/>
    <w:rsid w:val="00A826F1"/>
    <w:rsid w:val="00A83223"/>
    <w:rsid w:val="00A83401"/>
    <w:rsid w:val="00A838FD"/>
    <w:rsid w:val="00A83BE4"/>
    <w:rsid w:val="00A841B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977"/>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23B"/>
    <w:rsid w:val="00AB6671"/>
    <w:rsid w:val="00AB6B62"/>
    <w:rsid w:val="00AB6EED"/>
    <w:rsid w:val="00AB6F25"/>
    <w:rsid w:val="00AB6F4E"/>
    <w:rsid w:val="00AB7069"/>
    <w:rsid w:val="00AB71C3"/>
    <w:rsid w:val="00AB71D5"/>
    <w:rsid w:val="00AB72BF"/>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27E"/>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162"/>
    <w:rsid w:val="00AD480B"/>
    <w:rsid w:val="00AD5994"/>
    <w:rsid w:val="00AD637F"/>
    <w:rsid w:val="00AE0070"/>
    <w:rsid w:val="00AE01D1"/>
    <w:rsid w:val="00AE0AE6"/>
    <w:rsid w:val="00AE1102"/>
    <w:rsid w:val="00AE112D"/>
    <w:rsid w:val="00AE14D1"/>
    <w:rsid w:val="00AE168D"/>
    <w:rsid w:val="00AE1C68"/>
    <w:rsid w:val="00AE20D2"/>
    <w:rsid w:val="00AE22DC"/>
    <w:rsid w:val="00AE27A2"/>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171"/>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AB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490"/>
    <w:rsid w:val="00B07773"/>
    <w:rsid w:val="00B07AB3"/>
    <w:rsid w:val="00B07DED"/>
    <w:rsid w:val="00B103D0"/>
    <w:rsid w:val="00B10598"/>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0C4A"/>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5C66"/>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C4E"/>
    <w:rsid w:val="00B45F6E"/>
    <w:rsid w:val="00B4622F"/>
    <w:rsid w:val="00B4660F"/>
    <w:rsid w:val="00B46750"/>
    <w:rsid w:val="00B4693A"/>
    <w:rsid w:val="00B46C08"/>
    <w:rsid w:val="00B46C2A"/>
    <w:rsid w:val="00B4723C"/>
    <w:rsid w:val="00B47B84"/>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7AC"/>
    <w:rsid w:val="00B65DDF"/>
    <w:rsid w:val="00B66096"/>
    <w:rsid w:val="00B6616F"/>
    <w:rsid w:val="00B66DA6"/>
    <w:rsid w:val="00B66EB3"/>
    <w:rsid w:val="00B6704F"/>
    <w:rsid w:val="00B673BB"/>
    <w:rsid w:val="00B67A1F"/>
    <w:rsid w:val="00B67E0A"/>
    <w:rsid w:val="00B703F8"/>
    <w:rsid w:val="00B7046F"/>
    <w:rsid w:val="00B70841"/>
    <w:rsid w:val="00B70851"/>
    <w:rsid w:val="00B70966"/>
    <w:rsid w:val="00B712E6"/>
    <w:rsid w:val="00B714BD"/>
    <w:rsid w:val="00B71566"/>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CAC"/>
    <w:rsid w:val="00B84D5A"/>
    <w:rsid w:val="00B8541F"/>
    <w:rsid w:val="00B85B42"/>
    <w:rsid w:val="00B85E66"/>
    <w:rsid w:val="00B85F5B"/>
    <w:rsid w:val="00B868A5"/>
    <w:rsid w:val="00B869E3"/>
    <w:rsid w:val="00B86F3A"/>
    <w:rsid w:val="00B8702B"/>
    <w:rsid w:val="00B8705D"/>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4B8"/>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420D"/>
    <w:rsid w:val="00BC42D3"/>
    <w:rsid w:val="00BC55C7"/>
    <w:rsid w:val="00BC5BD2"/>
    <w:rsid w:val="00BC6048"/>
    <w:rsid w:val="00BC610D"/>
    <w:rsid w:val="00BC610F"/>
    <w:rsid w:val="00BC62F1"/>
    <w:rsid w:val="00BC6E7A"/>
    <w:rsid w:val="00BC6E80"/>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679"/>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546"/>
    <w:rsid w:val="00BE7718"/>
    <w:rsid w:val="00BE7921"/>
    <w:rsid w:val="00BE7A18"/>
    <w:rsid w:val="00BF0A2D"/>
    <w:rsid w:val="00BF0E9E"/>
    <w:rsid w:val="00BF12E0"/>
    <w:rsid w:val="00BF1A6C"/>
    <w:rsid w:val="00BF1B98"/>
    <w:rsid w:val="00BF1D9A"/>
    <w:rsid w:val="00BF281D"/>
    <w:rsid w:val="00BF2A42"/>
    <w:rsid w:val="00BF2AC0"/>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78A"/>
    <w:rsid w:val="00C03BE8"/>
    <w:rsid w:val="00C03E08"/>
    <w:rsid w:val="00C049E0"/>
    <w:rsid w:val="00C04E20"/>
    <w:rsid w:val="00C050BC"/>
    <w:rsid w:val="00C050D0"/>
    <w:rsid w:val="00C05AD4"/>
    <w:rsid w:val="00C05D5C"/>
    <w:rsid w:val="00C05E72"/>
    <w:rsid w:val="00C0693A"/>
    <w:rsid w:val="00C069E8"/>
    <w:rsid w:val="00C06D68"/>
    <w:rsid w:val="00C06DA7"/>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9C"/>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2FF4"/>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0FF7"/>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B0A"/>
    <w:rsid w:val="00C65CA5"/>
    <w:rsid w:val="00C65F0B"/>
    <w:rsid w:val="00C6638A"/>
    <w:rsid w:val="00C66642"/>
    <w:rsid w:val="00C66CB5"/>
    <w:rsid w:val="00C66DFA"/>
    <w:rsid w:val="00C670D4"/>
    <w:rsid w:val="00C67E7D"/>
    <w:rsid w:val="00C70223"/>
    <w:rsid w:val="00C7034F"/>
    <w:rsid w:val="00C70445"/>
    <w:rsid w:val="00C7075B"/>
    <w:rsid w:val="00C70A81"/>
    <w:rsid w:val="00C71C8A"/>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77B3C"/>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7DF"/>
    <w:rsid w:val="00C84AB7"/>
    <w:rsid w:val="00C857E5"/>
    <w:rsid w:val="00C85945"/>
    <w:rsid w:val="00C85E00"/>
    <w:rsid w:val="00C86534"/>
    <w:rsid w:val="00C86872"/>
    <w:rsid w:val="00C86AA9"/>
    <w:rsid w:val="00C86CA5"/>
    <w:rsid w:val="00C874B6"/>
    <w:rsid w:val="00C87552"/>
    <w:rsid w:val="00C87ED9"/>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1CF"/>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207"/>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1742"/>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47F"/>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26AF"/>
    <w:rsid w:val="00D231E5"/>
    <w:rsid w:val="00D234BF"/>
    <w:rsid w:val="00D2356E"/>
    <w:rsid w:val="00D23723"/>
    <w:rsid w:val="00D2376E"/>
    <w:rsid w:val="00D23B88"/>
    <w:rsid w:val="00D248E6"/>
    <w:rsid w:val="00D24AED"/>
    <w:rsid w:val="00D24B4F"/>
    <w:rsid w:val="00D24E89"/>
    <w:rsid w:val="00D25278"/>
    <w:rsid w:val="00D254BD"/>
    <w:rsid w:val="00D25563"/>
    <w:rsid w:val="00D25B0A"/>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5E18"/>
    <w:rsid w:val="00D364A1"/>
    <w:rsid w:val="00D36D82"/>
    <w:rsid w:val="00D36F8E"/>
    <w:rsid w:val="00D4047D"/>
    <w:rsid w:val="00D40EBA"/>
    <w:rsid w:val="00D41291"/>
    <w:rsid w:val="00D41C3D"/>
    <w:rsid w:val="00D4219C"/>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C9A"/>
    <w:rsid w:val="00D54FD8"/>
    <w:rsid w:val="00D55759"/>
    <w:rsid w:val="00D55B94"/>
    <w:rsid w:val="00D55E4E"/>
    <w:rsid w:val="00D55E63"/>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394E"/>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4C5"/>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8C8"/>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6ECD"/>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6E66"/>
    <w:rsid w:val="00DD770B"/>
    <w:rsid w:val="00DD7A99"/>
    <w:rsid w:val="00DD7B9B"/>
    <w:rsid w:val="00DD7CC2"/>
    <w:rsid w:val="00DD7E6B"/>
    <w:rsid w:val="00DE0AFE"/>
    <w:rsid w:val="00DE12B2"/>
    <w:rsid w:val="00DE1632"/>
    <w:rsid w:val="00DE1B33"/>
    <w:rsid w:val="00DE2255"/>
    <w:rsid w:val="00DE23CA"/>
    <w:rsid w:val="00DE26C4"/>
    <w:rsid w:val="00DE28E0"/>
    <w:rsid w:val="00DE2B7B"/>
    <w:rsid w:val="00DE2CB7"/>
    <w:rsid w:val="00DE2DC0"/>
    <w:rsid w:val="00DE2DE6"/>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3C84"/>
    <w:rsid w:val="00DF40AD"/>
    <w:rsid w:val="00DF4AA5"/>
    <w:rsid w:val="00DF4E6C"/>
    <w:rsid w:val="00DF50B3"/>
    <w:rsid w:val="00DF51CD"/>
    <w:rsid w:val="00DF53F7"/>
    <w:rsid w:val="00DF5C36"/>
    <w:rsid w:val="00DF5C8D"/>
    <w:rsid w:val="00DF5E43"/>
    <w:rsid w:val="00DF5FA5"/>
    <w:rsid w:val="00DF641A"/>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7F0"/>
    <w:rsid w:val="00E05DFE"/>
    <w:rsid w:val="00E06101"/>
    <w:rsid w:val="00E0653F"/>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276"/>
    <w:rsid w:val="00E176DB"/>
    <w:rsid w:val="00E17810"/>
    <w:rsid w:val="00E17A42"/>
    <w:rsid w:val="00E17BC2"/>
    <w:rsid w:val="00E2047E"/>
    <w:rsid w:val="00E206BA"/>
    <w:rsid w:val="00E20AD2"/>
    <w:rsid w:val="00E21266"/>
    <w:rsid w:val="00E216F0"/>
    <w:rsid w:val="00E21FF7"/>
    <w:rsid w:val="00E2207C"/>
    <w:rsid w:val="00E22304"/>
    <w:rsid w:val="00E22FEF"/>
    <w:rsid w:val="00E23591"/>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A6"/>
    <w:rsid w:val="00E54CCC"/>
    <w:rsid w:val="00E56A81"/>
    <w:rsid w:val="00E56B84"/>
    <w:rsid w:val="00E56BD9"/>
    <w:rsid w:val="00E56D63"/>
    <w:rsid w:val="00E5743A"/>
    <w:rsid w:val="00E575A3"/>
    <w:rsid w:val="00E576FB"/>
    <w:rsid w:val="00E57B2A"/>
    <w:rsid w:val="00E57C1D"/>
    <w:rsid w:val="00E57EE0"/>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647"/>
    <w:rsid w:val="00E67CEC"/>
    <w:rsid w:val="00E67FD8"/>
    <w:rsid w:val="00E700AC"/>
    <w:rsid w:val="00E70825"/>
    <w:rsid w:val="00E71685"/>
    <w:rsid w:val="00E71F36"/>
    <w:rsid w:val="00E7264B"/>
    <w:rsid w:val="00E726D1"/>
    <w:rsid w:val="00E736A7"/>
    <w:rsid w:val="00E73BC9"/>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98E"/>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566"/>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6C2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B0D"/>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2A3"/>
    <w:rsid w:val="00ED5F77"/>
    <w:rsid w:val="00ED6523"/>
    <w:rsid w:val="00ED67C5"/>
    <w:rsid w:val="00ED6939"/>
    <w:rsid w:val="00ED6B45"/>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73E"/>
    <w:rsid w:val="00EE4DB8"/>
    <w:rsid w:val="00EE5D83"/>
    <w:rsid w:val="00EE5DD4"/>
    <w:rsid w:val="00EE5F9C"/>
    <w:rsid w:val="00EE62DE"/>
    <w:rsid w:val="00EE698A"/>
    <w:rsid w:val="00EE6B85"/>
    <w:rsid w:val="00EE6E97"/>
    <w:rsid w:val="00EE729E"/>
    <w:rsid w:val="00EE778E"/>
    <w:rsid w:val="00EE7C7A"/>
    <w:rsid w:val="00EE7E36"/>
    <w:rsid w:val="00EF0174"/>
    <w:rsid w:val="00EF06F5"/>
    <w:rsid w:val="00EF095A"/>
    <w:rsid w:val="00EF0975"/>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6AB"/>
    <w:rsid w:val="00EF7764"/>
    <w:rsid w:val="00EF787F"/>
    <w:rsid w:val="00EF7A6D"/>
    <w:rsid w:val="00EF7C99"/>
    <w:rsid w:val="00EF7E24"/>
    <w:rsid w:val="00F004C4"/>
    <w:rsid w:val="00F00625"/>
    <w:rsid w:val="00F00EFB"/>
    <w:rsid w:val="00F014B2"/>
    <w:rsid w:val="00F01DDC"/>
    <w:rsid w:val="00F01F8D"/>
    <w:rsid w:val="00F021B2"/>
    <w:rsid w:val="00F03123"/>
    <w:rsid w:val="00F03B9F"/>
    <w:rsid w:val="00F03ECC"/>
    <w:rsid w:val="00F04065"/>
    <w:rsid w:val="00F0409C"/>
    <w:rsid w:val="00F0493D"/>
    <w:rsid w:val="00F05623"/>
    <w:rsid w:val="00F0585D"/>
    <w:rsid w:val="00F05D29"/>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2F97"/>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7B1"/>
    <w:rsid w:val="00F23B11"/>
    <w:rsid w:val="00F23C07"/>
    <w:rsid w:val="00F23E18"/>
    <w:rsid w:val="00F23ED8"/>
    <w:rsid w:val="00F24483"/>
    <w:rsid w:val="00F24582"/>
    <w:rsid w:val="00F247D7"/>
    <w:rsid w:val="00F247F2"/>
    <w:rsid w:val="00F2496B"/>
    <w:rsid w:val="00F24B0B"/>
    <w:rsid w:val="00F24C38"/>
    <w:rsid w:val="00F24D12"/>
    <w:rsid w:val="00F25244"/>
    <w:rsid w:val="00F267D2"/>
    <w:rsid w:val="00F26E65"/>
    <w:rsid w:val="00F2721E"/>
    <w:rsid w:val="00F27AA0"/>
    <w:rsid w:val="00F300C2"/>
    <w:rsid w:val="00F3036B"/>
    <w:rsid w:val="00F30AD9"/>
    <w:rsid w:val="00F30D26"/>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310"/>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CD6"/>
    <w:rsid w:val="00F53E44"/>
    <w:rsid w:val="00F54257"/>
    <w:rsid w:val="00F54379"/>
    <w:rsid w:val="00F5453B"/>
    <w:rsid w:val="00F54830"/>
    <w:rsid w:val="00F54CD1"/>
    <w:rsid w:val="00F54F46"/>
    <w:rsid w:val="00F55038"/>
    <w:rsid w:val="00F55277"/>
    <w:rsid w:val="00F55726"/>
    <w:rsid w:val="00F559E3"/>
    <w:rsid w:val="00F560A0"/>
    <w:rsid w:val="00F56364"/>
    <w:rsid w:val="00F56B3E"/>
    <w:rsid w:val="00F571B2"/>
    <w:rsid w:val="00F572D5"/>
    <w:rsid w:val="00F576C4"/>
    <w:rsid w:val="00F57758"/>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5D"/>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806"/>
    <w:rsid w:val="00F71957"/>
    <w:rsid w:val="00F71A20"/>
    <w:rsid w:val="00F71F11"/>
    <w:rsid w:val="00F72419"/>
    <w:rsid w:val="00F726C8"/>
    <w:rsid w:val="00F727A3"/>
    <w:rsid w:val="00F72D1D"/>
    <w:rsid w:val="00F73EBA"/>
    <w:rsid w:val="00F740B0"/>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2F1E"/>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8DE"/>
    <w:rsid w:val="00F94A67"/>
    <w:rsid w:val="00F94B7B"/>
    <w:rsid w:val="00F95390"/>
    <w:rsid w:val="00F95486"/>
    <w:rsid w:val="00F95B27"/>
    <w:rsid w:val="00F9615B"/>
    <w:rsid w:val="00F96265"/>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AAB"/>
    <w:rsid w:val="00FB4BD9"/>
    <w:rsid w:val="00FB4C3D"/>
    <w:rsid w:val="00FB4DA3"/>
    <w:rsid w:val="00FB5070"/>
    <w:rsid w:val="00FB584E"/>
    <w:rsid w:val="00FB6481"/>
    <w:rsid w:val="00FB6667"/>
    <w:rsid w:val="00FB6921"/>
    <w:rsid w:val="00FB6B6B"/>
    <w:rsid w:val="00FB72C9"/>
    <w:rsid w:val="00FB772B"/>
    <w:rsid w:val="00FB7989"/>
    <w:rsid w:val="00FB79EB"/>
    <w:rsid w:val="00FB7F72"/>
    <w:rsid w:val="00FB7FF4"/>
    <w:rsid w:val="00FC065F"/>
    <w:rsid w:val="00FC08C2"/>
    <w:rsid w:val="00FC0900"/>
    <w:rsid w:val="00FC0B08"/>
    <w:rsid w:val="00FC0D6B"/>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2C53"/>
    <w:rsid w:val="00FC31B7"/>
    <w:rsid w:val="00FC3B60"/>
    <w:rsid w:val="00FC410A"/>
    <w:rsid w:val="00FC429E"/>
    <w:rsid w:val="00FC4893"/>
    <w:rsid w:val="00FC4F80"/>
    <w:rsid w:val="00FC5517"/>
    <w:rsid w:val="00FC5FCA"/>
    <w:rsid w:val="00FC6348"/>
    <w:rsid w:val="00FC67D1"/>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790"/>
    <w:rsid w:val="00FE59AE"/>
    <w:rsid w:val="00FE5BBA"/>
    <w:rsid w:val="00FE625A"/>
    <w:rsid w:val="00FE64C2"/>
    <w:rsid w:val="00FE7229"/>
    <w:rsid w:val="00FE75C6"/>
    <w:rsid w:val="00FE7A07"/>
    <w:rsid w:val="00FE7AE9"/>
    <w:rsid w:val="00FE7B52"/>
    <w:rsid w:val="00FF00CC"/>
    <w:rsid w:val="00FF03C0"/>
    <w:rsid w:val="00FF04D3"/>
    <w:rsid w:val="00FF0674"/>
    <w:rsid w:val="00FF0810"/>
    <w:rsid w:val="00FF0885"/>
    <w:rsid w:val="00FF088E"/>
    <w:rsid w:val="00FF0EE6"/>
    <w:rsid w:val="00FF105A"/>
    <w:rsid w:val="00FF10EF"/>
    <w:rsid w:val="00FF1276"/>
    <w:rsid w:val="00FF1DDC"/>
    <w:rsid w:val="00FF1E5A"/>
    <w:rsid w:val="00FF24C3"/>
    <w:rsid w:val="00FF2640"/>
    <w:rsid w:val="00FF2662"/>
    <w:rsid w:val="00FF2F64"/>
    <w:rsid w:val="00FF30B8"/>
    <w:rsid w:val="00FF33EE"/>
    <w:rsid w:val="00FF3BB3"/>
    <w:rsid w:val="00FF412F"/>
    <w:rsid w:val="00FF487E"/>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09D96D"/>
  <w15:docId w15:val="{4881FFD6-1DAF-4059-9268-B36BF719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80661"/>
    <w:rPr>
      <w:sz w:val="22"/>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156C7D"/>
    <w:pPr>
      <w:keepNext/>
      <w:numPr>
        <w:ilvl w:val="1"/>
        <w:numId w:val="7"/>
      </w:numPr>
      <w:spacing w:before="240" w:after="60"/>
      <w:ind w:left="578" w:hanging="578"/>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 w:val="22"/>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rsid w:val="001953BE"/>
    <w:rPr>
      <w:b/>
      <w:bCs/>
      <w:sz w:val="22"/>
      <w:szCs w:val="22"/>
      <w:lang w:val="en-GB"/>
    </w:rPr>
  </w:style>
  <w:style w:type="character" w:customStyle="1" w:styleId="Heading7Char">
    <w:name w:val="Heading 7 Char"/>
    <w:link w:val="Heading7"/>
    <w:rsid w:val="001953BE"/>
    <w:rPr>
      <w:rFonts w:eastAsia="Batang"/>
      <w:sz w:val="24"/>
      <w:szCs w:val="24"/>
      <w:lang w:val="en-GB"/>
    </w:rPr>
  </w:style>
  <w:style w:type="character" w:customStyle="1" w:styleId="Heading8Char">
    <w:name w:val="Heading 8 Char"/>
    <w:link w:val="Heading8"/>
    <w:rsid w:val="001953BE"/>
    <w:rPr>
      <w:rFonts w:eastAsia="Batang"/>
      <w:i/>
      <w:iCs/>
      <w:sz w:val="24"/>
      <w:szCs w:val="24"/>
      <w:lang w:val="en-GB"/>
    </w:rPr>
  </w:style>
  <w:style w:type="character" w:customStyle="1" w:styleId="Heading9Char">
    <w:name w:val="Heading 9 Char"/>
    <w:link w:val="Heading9"/>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aliases w:val="- Bullets,목록 단락,リスト段落"/>
    <w:basedOn w:val="Normal"/>
    <w:link w:val="ListParagraphChar"/>
    <w:uiPriority w:val="34"/>
    <w:qFormat/>
    <w:rsid w:val="00A27769"/>
    <w:pPr>
      <w:ind w:left="720"/>
    </w:pPr>
    <w:rPr>
      <w:rFonts w:ascii="Calibri" w:eastAsia="Calibri" w:hAnsi="Calibri" w:cs="Calibri"/>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8"/>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11"/>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980661"/>
    <w:pPr>
      <w:numPr>
        <w:numId w:val="9"/>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10"/>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12"/>
      </w:numPr>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980661"/>
    <w:rPr>
      <w:rFonts w:ascii="Arial" w:hAnsi="Arial"/>
      <w:sz w:val="2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657AC"/>
    <w:rPr>
      <w:rFonts w:ascii="Arial" w:eastAsia="MS Mincho" w:hAnsi="Arial"/>
      <w:b/>
      <w:szCs w:val="24"/>
    </w:rPr>
  </w:style>
  <w:style w:type="paragraph" w:customStyle="1" w:styleId="CRCoverPage">
    <w:name w:val="CR Cover Page"/>
    <w:rsid w:val="00776D52"/>
    <w:pPr>
      <w:spacing w:after="120"/>
    </w:pPr>
    <w:rPr>
      <w:rFonts w:ascii="Arial" w:hAnsi="Arial"/>
      <w:lang w:val="en-GB"/>
    </w:rPr>
  </w:style>
  <w:style w:type="paragraph" w:customStyle="1" w:styleId="3GPPHeader">
    <w:name w:val="3GPP_Header"/>
    <w:basedOn w:val="Normal"/>
    <w:rsid w:val="0064512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apple-converted-space">
    <w:name w:val="apple-converted-space"/>
    <w:basedOn w:val="DefaultParagraphFont"/>
    <w:rsid w:val="00DD6E66"/>
  </w:style>
  <w:style w:type="table" w:styleId="GridTable1Light">
    <w:name w:val="Grid Table 1 Light"/>
    <w:basedOn w:val="TableNormal"/>
    <w:uiPriority w:val="46"/>
    <w:rsid w:val="009036B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rsid w:val="00C77B3C"/>
    <w:pPr>
      <w:jc w:val="center"/>
    </w:pPr>
    <w:rPr>
      <w:rFonts w:eastAsia="Times New Roman"/>
    </w:rPr>
  </w:style>
  <w:style w:type="character" w:customStyle="1" w:styleId="TACChar">
    <w:name w:val="TAC Char"/>
    <w:link w:val="TAC"/>
    <w:rsid w:val="00C77B3C"/>
    <w:rPr>
      <w:rFonts w:ascii="Arial" w:hAnsi="Arial"/>
      <w:sz w:val="18"/>
      <w:lang w:val="en-GB"/>
    </w:rPr>
  </w:style>
  <w:style w:type="paragraph" w:customStyle="1" w:styleId="Default">
    <w:name w:val="Default"/>
    <w:rsid w:val="00BE1679"/>
    <w:pPr>
      <w:autoSpaceDE w:val="0"/>
      <w:autoSpaceDN w:val="0"/>
      <w:adjustRightInd w:val="0"/>
    </w:pPr>
    <w:rPr>
      <w:color w:val="000000"/>
      <w:sz w:val="24"/>
      <w:szCs w:val="24"/>
      <w:lang w:val="sv-SE"/>
    </w:rPr>
  </w:style>
  <w:style w:type="character" w:customStyle="1" w:styleId="ListParagraphChar">
    <w:name w:val="List Paragraph Char"/>
    <w:aliases w:val="- Bullets Char,목록 단락 Char,リスト段落 Char"/>
    <w:link w:val="ListParagraph"/>
    <w:uiPriority w:val="34"/>
    <w:qFormat/>
    <w:locked/>
    <w:rsid w:val="000C4B04"/>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37629689">
      <w:bodyDiv w:val="1"/>
      <w:marLeft w:val="0"/>
      <w:marRight w:val="0"/>
      <w:marTop w:val="0"/>
      <w:marBottom w:val="0"/>
      <w:divBdr>
        <w:top w:val="none" w:sz="0" w:space="0" w:color="auto"/>
        <w:left w:val="none" w:sz="0" w:space="0" w:color="auto"/>
        <w:bottom w:val="none" w:sz="0" w:space="0" w:color="auto"/>
        <w:right w:val="none" w:sz="0" w:space="0" w:color="auto"/>
      </w:divBdr>
      <w:divsChild>
        <w:div w:id="195777715">
          <w:marLeft w:val="835"/>
          <w:marRight w:val="0"/>
          <w:marTop w:val="96"/>
          <w:marBottom w:val="0"/>
          <w:divBdr>
            <w:top w:val="none" w:sz="0" w:space="0" w:color="auto"/>
            <w:left w:val="none" w:sz="0" w:space="0" w:color="auto"/>
            <w:bottom w:val="none" w:sz="0" w:space="0" w:color="auto"/>
            <w:right w:val="none" w:sz="0" w:space="0" w:color="auto"/>
          </w:divBdr>
        </w:div>
      </w:divsChild>
    </w:div>
    <w:div w:id="85468519">
      <w:bodyDiv w:val="1"/>
      <w:marLeft w:val="0"/>
      <w:marRight w:val="0"/>
      <w:marTop w:val="0"/>
      <w:marBottom w:val="0"/>
      <w:divBdr>
        <w:top w:val="none" w:sz="0" w:space="0" w:color="auto"/>
        <w:left w:val="none" w:sz="0" w:space="0" w:color="auto"/>
        <w:bottom w:val="none" w:sz="0" w:space="0" w:color="auto"/>
        <w:right w:val="none" w:sz="0" w:space="0" w:color="auto"/>
      </w:divBdr>
    </w:div>
    <w:div w:id="132329816">
      <w:bodyDiv w:val="1"/>
      <w:marLeft w:val="0"/>
      <w:marRight w:val="0"/>
      <w:marTop w:val="0"/>
      <w:marBottom w:val="0"/>
      <w:divBdr>
        <w:top w:val="none" w:sz="0" w:space="0" w:color="auto"/>
        <w:left w:val="none" w:sz="0" w:space="0" w:color="auto"/>
        <w:bottom w:val="none" w:sz="0" w:space="0" w:color="auto"/>
        <w:right w:val="none" w:sz="0" w:space="0" w:color="auto"/>
      </w:divBdr>
      <w:divsChild>
        <w:div w:id="1568950417">
          <w:marLeft w:val="274"/>
          <w:marRight w:val="0"/>
          <w:marTop w:val="115"/>
          <w:marBottom w:val="0"/>
          <w:divBdr>
            <w:top w:val="none" w:sz="0" w:space="0" w:color="auto"/>
            <w:left w:val="none" w:sz="0" w:space="0" w:color="auto"/>
            <w:bottom w:val="none" w:sz="0" w:space="0" w:color="auto"/>
            <w:right w:val="none" w:sz="0" w:space="0" w:color="auto"/>
          </w:divBdr>
        </w:div>
      </w:divsChild>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297876199">
      <w:bodyDiv w:val="1"/>
      <w:marLeft w:val="0"/>
      <w:marRight w:val="0"/>
      <w:marTop w:val="0"/>
      <w:marBottom w:val="0"/>
      <w:divBdr>
        <w:top w:val="none" w:sz="0" w:space="0" w:color="auto"/>
        <w:left w:val="none" w:sz="0" w:space="0" w:color="auto"/>
        <w:bottom w:val="none" w:sz="0" w:space="0" w:color="auto"/>
        <w:right w:val="none" w:sz="0" w:space="0" w:color="auto"/>
      </w:divBdr>
      <w:divsChild>
        <w:div w:id="1380940183">
          <w:marLeft w:val="835"/>
          <w:marRight w:val="0"/>
          <w:marTop w:val="86"/>
          <w:marBottom w:val="0"/>
          <w:divBdr>
            <w:top w:val="none" w:sz="0" w:space="0" w:color="auto"/>
            <w:left w:val="none" w:sz="0" w:space="0" w:color="auto"/>
            <w:bottom w:val="none" w:sz="0" w:space="0" w:color="auto"/>
            <w:right w:val="none" w:sz="0" w:space="0" w:color="auto"/>
          </w:divBdr>
        </w:div>
        <w:div w:id="1975257077">
          <w:marLeft w:val="835"/>
          <w:marRight w:val="0"/>
          <w:marTop w:val="86"/>
          <w:marBottom w:val="0"/>
          <w:divBdr>
            <w:top w:val="none" w:sz="0" w:space="0" w:color="auto"/>
            <w:left w:val="none" w:sz="0" w:space="0" w:color="auto"/>
            <w:bottom w:val="none" w:sz="0" w:space="0" w:color="auto"/>
            <w:right w:val="none" w:sz="0" w:space="0" w:color="auto"/>
          </w:divBdr>
        </w:div>
        <w:div w:id="312105724">
          <w:marLeft w:val="835"/>
          <w:marRight w:val="0"/>
          <w:marTop w:val="86"/>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5097820">
      <w:bodyDiv w:val="1"/>
      <w:marLeft w:val="0"/>
      <w:marRight w:val="0"/>
      <w:marTop w:val="0"/>
      <w:marBottom w:val="0"/>
      <w:divBdr>
        <w:top w:val="none" w:sz="0" w:space="0" w:color="auto"/>
        <w:left w:val="none" w:sz="0" w:space="0" w:color="auto"/>
        <w:bottom w:val="none" w:sz="0" w:space="0" w:color="auto"/>
        <w:right w:val="none" w:sz="0" w:space="0" w:color="auto"/>
      </w:divBdr>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16136497">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670334894">
      <w:bodyDiv w:val="1"/>
      <w:marLeft w:val="0"/>
      <w:marRight w:val="0"/>
      <w:marTop w:val="0"/>
      <w:marBottom w:val="0"/>
      <w:divBdr>
        <w:top w:val="none" w:sz="0" w:space="0" w:color="auto"/>
        <w:left w:val="none" w:sz="0" w:space="0" w:color="auto"/>
        <w:bottom w:val="none" w:sz="0" w:space="0" w:color="auto"/>
        <w:right w:val="none" w:sz="0" w:space="0" w:color="auto"/>
      </w:divBdr>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40759985">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28403543">
      <w:bodyDiv w:val="1"/>
      <w:marLeft w:val="0"/>
      <w:marRight w:val="0"/>
      <w:marTop w:val="0"/>
      <w:marBottom w:val="0"/>
      <w:divBdr>
        <w:top w:val="none" w:sz="0" w:space="0" w:color="auto"/>
        <w:left w:val="none" w:sz="0" w:space="0" w:color="auto"/>
        <w:bottom w:val="none" w:sz="0" w:space="0" w:color="auto"/>
        <w:right w:val="none" w:sz="0" w:space="0" w:color="auto"/>
      </w:divBdr>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17985374">
      <w:bodyDiv w:val="1"/>
      <w:marLeft w:val="0"/>
      <w:marRight w:val="0"/>
      <w:marTop w:val="0"/>
      <w:marBottom w:val="0"/>
      <w:divBdr>
        <w:top w:val="none" w:sz="0" w:space="0" w:color="auto"/>
        <w:left w:val="none" w:sz="0" w:space="0" w:color="auto"/>
        <w:bottom w:val="none" w:sz="0" w:space="0" w:color="auto"/>
        <w:right w:val="none" w:sz="0" w:space="0" w:color="auto"/>
      </w:divBdr>
      <w:divsChild>
        <w:div w:id="1357119729">
          <w:marLeft w:val="835"/>
          <w:marRight w:val="0"/>
          <w:marTop w:val="96"/>
          <w:marBottom w:val="0"/>
          <w:divBdr>
            <w:top w:val="none" w:sz="0" w:space="0" w:color="auto"/>
            <w:left w:val="none" w:sz="0" w:space="0" w:color="auto"/>
            <w:bottom w:val="none" w:sz="0" w:space="0" w:color="auto"/>
            <w:right w:val="none" w:sz="0" w:space="0" w:color="auto"/>
          </w:divBdr>
        </w:div>
      </w:divsChild>
    </w:div>
    <w:div w:id="927999151">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55281939">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3459131">
      <w:bodyDiv w:val="1"/>
      <w:marLeft w:val="0"/>
      <w:marRight w:val="0"/>
      <w:marTop w:val="0"/>
      <w:marBottom w:val="0"/>
      <w:divBdr>
        <w:top w:val="none" w:sz="0" w:space="0" w:color="auto"/>
        <w:left w:val="none" w:sz="0" w:space="0" w:color="auto"/>
        <w:bottom w:val="none" w:sz="0" w:space="0" w:color="auto"/>
        <w:right w:val="none" w:sz="0" w:space="0" w:color="auto"/>
      </w:divBdr>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55002712">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30933979">
      <w:bodyDiv w:val="1"/>
      <w:marLeft w:val="0"/>
      <w:marRight w:val="0"/>
      <w:marTop w:val="0"/>
      <w:marBottom w:val="0"/>
      <w:divBdr>
        <w:top w:val="none" w:sz="0" w:space="0" w:color="auto"/>
        <w:left w:val="none" w:sz="0" w:space="0" w:color="auto"/>
        <w:bottom w:val="none" w:sz="0" w:space="0" w:color="auto"/>
        <w:right w:val="none" w:sz="0" w:space="0" w:color="auto"/>
      </w:divBdr>
      <w:divsChild>
        <w:div w:id="330641937">
          <w:marLeft w:val="0"/>
          <w:marRight w:val="0"/>
          <w:marTop w:val="0"/>
          <w:marBottom w:val="0"/>
          <w:divBdr>
            <w:top w:val="none" w:sz="0" w:space="0" w:color="auto"/>
            <w:left w:val="none" w:sz="0" w:space="0" w:color="auto"/>
            <w:bottom w:val="none" w:sz="0" w:space="0" w:color="auto"/>
            <w:right w:val="none" w:sz="0" w:space="0" w:color="auto"/>
          </w:divBdr>
        </w:div>
        <w:div w:id="1284996704">
          <w:marLeft w:val="0"/>
          <w:marRight w:val="0"/>
          <w:marTop w:val="0"/>
          <w:marBottom w:val="0"/>
          <w:divBdr>
            <w:top w:val="none" w:sz="0" w:space="0" w:color="auto"/>
            <w:left w:val="none" w:sz="0" w:space="0" w:color="auto"/>
            <w:bottom w:val="none" w:sz="0" w:space="0" w:color="auto"/>
            <w:right w:val="none" w:sz="0" w:space="0" w:color="auto"/>
          </w:divBdr>
        </w:div>
      </w:divsChild>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1979411591">
      <w:bodyDiv w:val="1"/>
      <w:marLeft w:val="0"/>
      <w:marRight w:val="0"/>
      <w:marTop w:val="0"/>
      <w:marBottom w:val="0"/>
      <w:divBdr>
        <w:top w:val="none" w:sz="0" w:space="0" w:color="auto"/>
        <w:left w:val="none" w:sz="0" w:space="0" w:color="auto"/>
        <w:bottom w:val="none" w:sz="0" w:space="0" w:color="auto"/>
        <w:right w:val="none" w:sz="0" w:space="0" w:color="auto"/>
      </w:divBdr>
    </w:div>
    <w:div w:id="1982146739">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75009530">
      <w:bodyDiv w:val="1"/>
      <w:marLeft w:val="0"/>
      <w:marRight w:val="0"/>
      <w:marTop w:val="0"/>
      <w:marBottom w:val="0"/>
      <w:divBdr>
        <w:top w:val="none" w:sz="0" w:space="0" w:color="auto"/>
        <w:left w:val="none" w:sz="0" w:space="0" w:color="auto"/>
        <w:bottom w:val="none" w:sz="0" w:space="0" w:color="auto"/>
        <w:right w:val="none" w:sz="0" w:space="0" w:color="auto"/>
      </w:divBdr>
    </w:div>
    <w:div w:id="2079592909">
      <w:bodyDiv w:val="1"/>
      <w:marLeft w:val="0"/>
      <w:marRight w:val="0"/>
      <w:marTop w:val="0"/>
      <w:marBottom w:val="0"/>
      <w:divBdr>
        <w:top w:val="none" w:sz="0" w:space="0" w:color="auto"/>
        <w:left w:val="none" w:sz="0" w:space="0" w:color="auto"/>
        <w:bottom w:val="none" w:sz="0" w:space="0" w:color="auto"/>
        <w:right w:val="none" w:sz="0" w:space="0" w:color="auto"/>
      </w:divBdr>
    </w:div>
    <w:div w:id="2085253399">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ecfr.gov/cgi-bin/text-idx?node=pt47.5.96&amp;rgn=div5"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5NUHHDQN7SK2-1-117062</_dlc_DocId>
    <TaxCatchAll xmlns="d8762117-8292-4133-b1c7-eab5c6487cfd">
      <Value>5</Value>
      <Value>4</Value>
    </TaxCatchAll>
    <_dlc_DocIdUrl xmlns="f166a696-7b5b-4ccd-9f0c-ffde0cceec81">
      <Url>https://ericsson.sharepoint.com/sites/star/_layouts/15/DocIdRedir.aspx?ID=5NUHHDQN7SK2-1-117062</Url>
      <Description>5NUHHDQN7SK2-1-117062</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A4BC23-AD4E-452B-896E-DAAE8977E0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68D66F-4AF7-4E3B-880C-725C2B897A90}">
  <ds:schemaRefs>
    <ds:schemaRef ds:uri="http://schemas.microsoft.com/sharepoint/events"/>
  </ds:schemaRefs>
</ds:datastoreItem>
</file>

<file path=customXml/itemProps3.xml><?xml version="1.0" encoding="utf-8"?>
<ds:datastoreItem xmlns:ds="http://schemas.openxmlformats.org/officeDocument/2006/customXml" ds:itemID="{005E2004-D83E-4F2B-BDC8-774A8DB06332}">
  <ds:schemaRefs>
    <ds:schemaRef ds:uri="Microsoft.SharePoint.Taxonomy.ContentTypeSync"/>
  </ds:schemaRefs>
</ds:datastoreItem>
</file>

<file path=customXml/itemProps4.xml><?xml version="1.0" encoding="utf-8"?>
<ds:datastoreItem xmlns:ds="http://schemas.openxmlformats.org/officeDocument/2006/customXml" ds:itemID="{7EACB6F5-1D8C-40B7-AF3C-AF17A920761A}">
  <ds:schemaRefs>
    <ds:schemaRef ds:uri="http://schemas.microsoft.com/sharepoint/v3/contenttype/forms"/>
  </ds:schemaRefs>
</ds:datastoreItem>
</file>

<file path=customXml/itemProps5.xml><?xml version="1.0" encoding="utf-8"?>
<ds:datastoreItem xmlns:ds="http://schemas.openxmlformats.org/officeDocument/2006/customXml" ds:itemID="{49B83A80-65DD-47D5-9713-31335DD7C1F3}">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C6D11348-2A21-4AF7-AF8D-3DD1BF3DC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1194</Words>
  <Characters>6811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Reem Karaki</cp:lastModifiedBy>
  <cp:revision>22</cp:revision>
  <dcterms:created xsi:type="dcterms:W3CDTF">2018-02-07T00:15:00Z</dcterms:created>
  <dcterms:modified xsi:type="dcterms:W3CDTF">2018-02-16T15:33:00Z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4f8a5664-beac-4525-bdf2-53d07c9a0694</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Comments">
    <vt:lpwstr/>
  </property>
  <property fmtid="{D5CDD505-2E9C-101B-9397-08002B2CF9AE}" pid="14" name="URL">
    <vt:lpwstr/>
  </property>
</Properties>
</file>